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0E" w:rsidRPr="001C630E" w:rsidRDefault="001C630E" w:rsidP="001C630E">
      <w:pPr>
        <w:rPr>
          <w:b/>
          <w:bCs/>
          <w:lang w:val="en-US"/>
        </w:rPr>
      </w:pPr>
      <w:r w:rsidRPr="001C630E">
        <w:rPr>
          <w:b/>
          <w:bCs/>
          <w:lang w:val="en-US"/>
        </w:rPr>
        <w:t>" INTEGRITY PACT</w:t>
      </w:r>
    </w:p>
    <w:p w:rsidR="001C630E" w:rsidRPr="001C630E" w:rsidRDefault="001C630E" w:rsidP="001C630E">
      <w:pPr>
        <w:rPr>
          <w:lang w:val="en-US"/>
        </w:rPr>
      </w:pPr>
      <w:r w:rsidRPr="001C630E">
        <w:rPr>
          <w:lang w:val="en-US"/>
        </w:rPr>
        <w:t xml:space="preserve">The Integrity Pact establishes the mutual and formal obligations of the Italian Trade Agency (hereinafter "ITA") as part of the first part and participants in the award procedure in question as party/parties of the second part. Under these obligations, they must conduct their activities in compliance with the principles of integrity, transparency and fairness. They must not offer, accept or requests sum of money or any other reward, advantage or benefit, whether directly or indirectly through intermediaries, for the purposes of the award of the contract and/or for the purposes of distorting the proper performance of it. The undersigned Company agrees that </w:t>
      </w:r>
      <w:proofErr w:type="gramStart"/>
      <w:r w:rsidRPr="001C630E">
        <w:rPr>
          <w:lang w:val="en-US"/>
        </w:rPr>
        <w:t>in the event that</w:t>
      </w:r>
      <w:proofErr w:type="gramEnd"/>
      <w:r w:rsidRPr="001C630E">
        <w:rPr>
          <w:lang w:val="en-US"/>
        </w:rPr>
        <w:t xml:space="preserve"> the Administration ascertains any failure to comply with the anti-corruption commitments undertaken in this Integrity Pact, the following sanctions will be applied, depending on the stage when the compliance failures are established, subject to the liabilities provided by Law:</w:t>
      </w:r>
    </w:p>
    <w:p w:rsidR="001C630E" w:rsidRPr="001C630E" w:rsidRDefault="001C630E" w:rsidP="001C630E">
      <w:pPr>
        <w:rPr>
          <w:lang w:val="en-US"/>
        </w:rPr>
      </w:pPr>
      <w:r w:rsidRPr="001C630E">
        <w:rPr>
          <w:lang w:val="en-US"/>
        </w:rPr>
        <w:t>• Exclusion of the competitor from the award proceedings</w:t>
      </w:r>
    </w:p>
    <w:p w:rsidR="001C630E" w:rsidRPr="001C630E" w:rsidRDefault="001C630E" w:rsidP="001C630E">
      <w:pPr>
        <w:rPr>
          <w:lang w:val="en-US"/>
        </w:rPr>
      </w:pPr>
      <w:r w:rsidRPr="001C630E">
        <w:rPr>
          <w:lang w:val="en-US"/>
        </w:rPr>
        <w:t>• Termination of the contract</w:t>
      </w:r>
    </w:p>
    <w:p w:rsidR="001C630E" w:rsidRPr="001C630E" w:rsidRDefault="001C630E" w:rsidP="001C630E">
      <w:pPr>
        <w:rPr>
          <w:lang w:val="en-US"/>
        </w:rPr>
      </w:pPr>
      <w:r w:rsidRPr="001C630E">
        <w:rPr>
          <w:lang w:val="en-US"/>
        </w:rPr>
        <w:t>• Enforcement of the validity deposit for the offer</w:t>
      </w:r>
    </w:p>
    <w:p w:rsidR="001C630E" w:rsidRPr="001C630E" w:rsidRDefault="001C630E" w:rsidP="001C630E">
      <w:pPr>
        <w:rPr>
          <w:lang w:val="en-US"/>
        </w:rPr>
      </w:pPr>
      <w:r w:rsidRPr="001C630E">
        <w:rPr>
          <w:lang w:val="en-US"/>
        </w:rPr>
        <w:t>• Enforcement of the final deposit for satisfactory performance of the contract</w:t>
      </w:r>
    </w:p>
    <w:p w:rsidR="001C630E" w:rsidRPr="001C630E" w:rsidRDefault="001C630E" w:rsidP="001C630E">
      <w:pPr>
        <w:rPr>
          <w:lang w:val="en-US"/>
        </w:rPr>
      </w:pPr>
      <w:r w:rsidRPr="001C630E">
        <w:rPr>
          <w:lang w:val="en-US"/>
        </w:rPr>
        <w:t>• Exclusion of the competitor from the award procedures announced by the ITA for the next three years. Any incidences of corruption or other types of offences, subject to each case, as provided by Articles 331 et seq. of the Code of Criminal Procedure, should be reported to the Individual Responsible for the Proceedings and to the Individual Responsible for the Prevention of Corruption at the ITA.</w:t>
      </w:r>
    </w:p>
    <w:p w:rsidR="001C630E" w:rsidRPr="001C630E" w:rsidRDefault="001C630E" w:rsidP="001C630E">
      <w:pPr>
        <w:rPr>
          <w:lang w:val="en-US"/>
        </w:rPr>
      </w:pPr>
      <w:r w:rsidRPr="001C630E">
        <w:rPr>
          <w:lang w:val="en-US"/>
        </w:rPr>
        <w:t>By signing the below contract,</w:t>
      </w:r>
      <w:bookmarkStart w:id="0" w:name="_GoBack"/>
      <w:bookmarkEnd w:id="0"/>
      <w:r w:rsidRPr="001C630E">
        <w:rPr>
          <w:lang w:val="en-US"/>
        </w:rPr>
        <w:t xml:space="preserve"> you accept to respect all term and conditions of integrity pact.</w:t>
      </w:r>
    </w:p>
    <w:p w:rsidR="001C630E" w:rsidRPr="001C630E" w:rsidRDefault="001C630E" w:rsidP="001C630E">
      <w:r w:rsidRPr="001C630E">
        <w:t>For acceptance</w:t>
      </w:r>
    </w:p>
    <w:p w:rsidR="001C630E" w:rsidRDefault="001C630E"/>
    <w:sectPr w:rsidR="001C630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A0E" w:rsidRDefault="00276A0E" w:rsidP="001C630E">
      <w:pPr>
        <w:spacing w:after="0" w:line="240" w:lineRule="auto"/>
      </w:pPr>
      <w:r>
        <w:separator/>
      </w:r>
    </w:p>
  </w:endnote>
  <w:endnote w:type="continuationSeparator" w:id="0">
    <w:p w:rsidR="00276A0E" w:rsidRDefault="00276A0E" w:rsidP="001C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A0E" w:rsidRDefault="00276A0E" w:rsidP="001C630E">
      <w:pPr>
        <w:spacing w:after="0" w:line="240" w:lineRule="auto"/>
      </w:pPr>
      <w:r>
        <w:separator/>
      </w:r>
    </w:p>
  </w:footnote>
  <w:footnote w:type="continuationSeparator" w:id="0">
    <w:p w:rsidR="00276A0E" w:rsidRDefault="00276A0E" w:rsidP="001C6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30E" w:rsidRDefault="001C630E">
    <w:pPr>
      <w:pStyle w:val="Header"/>
    </w:pPr>
    <w:r>
      <w:rPr>
        <w:rFonts w:ascii="Arial" w:hAnsi="Arial" w:cs="Arial"/>
        <w:noProof/>
        <w:sz w:val="4"/>
        <w:szCs w:val="4"/>
      </w:rPr>
      <w:drawing>
        <wp:inline distT="0" distB="0" distL="0" distR="0">
          <wp:extent cx="1790700" cy="942975"/>
          <wp:effectExtent l="0" t="0" r="0" b="9525"/>
          <wp:docPr id="1" name="Picture 1" descr="logo_EN_rgb_BIG_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_rgb_BIG_s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42975"/>
                  </a:xfrm>
                  <a:prstGeom prst="rect">
                    <a:avLst/>
                  </a:prstGeom>
                  <a:noFill/>
                  <a:ln>
                    <a:noFill/>
                  </a:ln>
                </pic:spPr>
              </pic:pic>
            </a:graphicData>
          </a:graphic>
        </wp:inline>
      </w:drawing>
    </w:r>
  </w:p>
  <w:p w:rsidR="001C630E" w:rsidRPr="001C630E" w:rsidRDefault="001C630E" w:rsidP="001C630E">
    <w:pPr>
      <w:suppressAutoHyphens/>
      <w:bidi/>
      <w:spacing w:after="0" w:line="170" w:lineRule="exact"/>
      <w:jc w:val="right"/>
      <w:rPr>
        <w:rFonts w:ascii="Arial" w:eastAsia="Times New Roman" w:hAnsi="Arial" w:cs="Arial"/>
        <w:sz w:val="18"/>
        <w:szCs w:val="18"/>
        <w:rtl/>
        <w:lang w:val="en-US" w:eastAsia="ar-SY" w:bidi="ar-SY"/>
      </w:rPr>
    </w:pPr>
    <w:r w:rsidRPr="001C630E">
      <w:rPr>
        <w:rFonts w:ascii="Arial" w:eastAsia="Times New Roman" w:hAnsi="Arial" w:cs="Arial"/>
        <w:b/>
        <w:bCs/>
        <w:sz w:val="18"/>
        <w:szCs w:val="18"/>
        <w:rtl/>
        <w:lang w:val="en-US" w:eastAsia="ar-SY" w:bidi="ar-SY"/>
      </w:rPr>
      <w:t>البعث</w:t>
    </w:r>
    <w:r w:rsidRPr="001C630E">
      <w:rPr>
        <w:rFonts w:ascii="Arial" w:eastAsia="Times New Roman" w:hAnsi="Arial" w:cs="Arial" w:hint="eastAsia"/>
        <w:b/>
        <w:bCs/>
        <w:sz w:val="18"/>
        <w:szCs w:val="18"/>
        <w:rtl/>
        <w:lang w:val="en-US" w:eastAsia="ar-LB" w:bidi="ar-LB"/>
      </w:rPr>
      <w:t>ــ</w:t>
    </w:r>
    <w:r w:rsidRPr="001C630E">
      <w:rPr>
        <w:rFonts w:ascii="Arial" w:eastAsia="Times New Roman" w:hAnsi="Arial" w:cs="Arial" w:hint="eastAsia"/>
        <w:b/>
        <w:bCs/>
        <w:sz w:val="18"/>
        <w:szCs w:val="18"/>
        <w:rtl/>
        <w:lang w:val="en-US" w:eastAsia="ar-SY" w:bidi="ar-SY"/>
      </w:rPr>
      <w:t>ـة</w:t>
    </w:r>
    <w:r w:rsidRPr="001C630E">
      <w:rPr>
        <w:rFonts w:ascii="Arial" w:eastAsia="Times New Roman" w:hAnsi="Arial" w:cs="Arial"/>
        <w:b/>
        <w:bCs/>
        <w:sz w:val="18"/>
        <w:szCs w:val="18"/>
        <w:rtl/>
        <w:lang w:val="en-US" w:eastAsia="ar-SY" w:bidi="ar-SY"/>
      </w:rPr>
      <w:t xml:space="preserve"> التج</w:t>
    </w:r>
    <w:r w:rsidRPr="001C630E">
      <w:rPr>
        <w:rFonts w:ascii="Arial" w:eastAsia="Times New Roman" w:hAnsi="Arial" w:cs="Arial" w:hint="eastAsia"/>
        <w:b/>
        <w:bCs/>
        <w:sz w:val="18"/>
        <w:szCs w:val="18"/>
        <w:rtl/>
        <w:lang w:val="en-US" w:eastAsia="ar-SY" w:bidi="ar-SY"/>
      </w:rPr>
      <w:t>ـ</w:t>
    </w:r>
    <w:r w:rsidRPr="001C630E">
      <w:rPr>
        <w:rFonts w:ascii="Arial" w:eastAsia="Times New Roman" w:hAnsi="Arial" w:cs="Arial"/>
        <w:b/>
        <w:bCs/>
        <w:sz w:val="18"/>
        <w:szCs w:val="18"/>
        <w:rtl/>
        <w:lang w:val="en-US" w:eastAsia="ar-SY" w:bidi="ar-SY"/>
      </w:rPr>
      <w:t>اري</w:t>
    </w:r>
    <w:r w:rsidRPr="001C630E">
      <w:rPr>
        <w:rFonts w:ascii="Arial" w:eastAsia="Times New Roman" w:hAnsi="Arial" w:cs="Arial" w:hint="eastAsia"/>
        <w:b/>
        <w:bCs/>
        <w:sz w:val="18"/>
        <w:szCs w:val="18"/>
        <w:rtl/>
        <w:lang w:val="en-US" w:eastAsia="ar-SY" w:bidi="ar-SY"/>
      </w:rPr>
      <w:t>ــ</w:t>
    </w:r>
    <w:r w:rsidRPr="001C630E">
      <w:rPr>
        <w:rFonts w:ascii="Arial" w:eastAsia="Times New Roman" w:hAnsi="Arial" w:cs="Arial"/>
        <w:b/>
        <w:bCs/>
        <w:sz w:val="18"/>
        <w:szCs w:val="18"/>
        <w:rtl/>
        <w:lang w:val="en-US" w:eastAsia="ar-SY" w:bidi="ar-SY"/>
      </w:rPr>
      <w:t>ة الاي</w:t>
    </w:r>
    <w:r w:rsidRPr="001C630E">
      <w:rPr>
        <w:rFonts w:ascii="Arial" w:eastAsia="Times New Roman" w:hAnsi="Arial" w:cs="Arial" w:hint="eastAsia"/>
        <w:b/>
        <w:bCs/>
        <w:sz w:val="18"/>
        <w:szCs w:val="18"/>
        <w:rtl/>
        <w:lang w:val="en-US" w:eastAsia="ar-SY" w:bidi="ar-SY"/>
      </w:rPr>
      <w:t>ـ</w:t>
    </w:r>
    <w:r w:rsidRPr="001C630E">
      <w:rPr>
        <w:rFonts w:ascii="Arial" w:eastAsia="Times New Roman" w:hAnsi="Arial" w:cs="Arial"/>
        <w:b/>
        <w:bCs/>
        <w:sz w:val="18"/>
        <w:szCs w:val="18"/>
        <w:rtl/>
        <w:lang w:val="en-US" w:eastAsia="ar-SY" w:bidi="ar-SY"/>
      </w:rPr>
      <w:t>طالي</w:t>
    </w:r>
    <w:r w:rsidRPr="001C630E">
      <w:rPr>
        <w:rFonts w:ascii="Arial" w:eastAsia="Times New Roman" w:hAnsi="Arial" w:cs="Arial" w:hint="eastAsia"/>
        <w:b/>
        <w:bCs/>
        <w:sz w:val="18"/>
        <w:szCs w:val="18"/>
        <w:rtl/>
        <w:lang w:val="en-US" w:eastAsia="ar-SY" w:bidi="ar-SY"/>
      </w:rPr>
      <w:t>ـــ</w:t>
    </w:r>
    <w:r w:rsidRPr="001C630E">
      <w:rPr>
        <w:rFonts w:ascii="Arial" w:eastAsia="Times New Roman" w:hAnsi="Arial" w:cs="Arial"/>
        <w:b/>
        <w:bCs/>
        <w:sz w:val="18"/>
        <w:szCs w:val="18"/>
        <w:rtl/>
        <w:lang w:val="en-US" w:eastAsia="ar-SY" w:bidi="ar-SY"/>
      </w:rPr>
      <w:t>ة</w:t>
    </w:r>
  </w:p>
  <w:p w:rsidR="001C630E" w:rsidRPr="001C630E" w:rsidRDefault="001C630E" w:rsidP="001C630E">
    <w:pPr>
      <w:suppressAutoHyphens/>
      <w:bidi/>
      <w:spacing w:after="0" w:line="170" w:lineRule="exact"/>
      <w:jc w:val="right"/>
      <w:rPr>
        <w:rFonts w:ascii="Times New Roman" w:eastAsia="Times New Roman" w:hAnsi="Times New Roman" w:cs="Times New Roman"/>
        <w:sz w:val="24"/>
        <w:szCs w:val="24"/>
        <w:rtl/>
        <w:lang w:val="en-US" w:eastAsia="ar-SA"/>
      </w:rPr>
    </w:pPr>
    <w:r w:rsidRPr="001C630E">
      <w:rPr>
        <w:rFonts w:ascii="Arial" w:eastAsia="Times New Roman" w:hAnsi="Arial" w:cs="Arial"/>
        <w:sz w:val="18"/>
        <w:szCs w:val="18"/>
        <w:rtl/>
        <w:lang w:val="en-US" w:eastAsia="ar-SY" w:bidi="ar-SY"/>
      </w:rPr>
      <w:t>قس</w:t>
    </w:r>
    <w:r w:rsidRPr="001C630E">
      <w:rPr>
        <w:rFonts w:ascii="Arial" w:eastAsia="Times New Roman" w:hAnsi="Arial" w:cs="Arial" w:hint="eastAsia"/>
        <w:sz w:val="18"/>
        <w:szCs w:val="18"/>
        <w:rtl/>
        <w:lang w:val="en-US" w:eastAsia="ar-SY" w:bidi="ar-SY"/>
      </w:rPr>
      <w:t>ــ</w:t>
    </w:r>
    <w:r w:rsidRPr="001C630E">
      <w:rPr>
        <w:rFonts w:ascii="Arial" w:eastAsia="Times New Roman" w:hAnsi="Arial" w:cs="Arial"/>
        <w:sz w:val="18"/>
        <w:szCs w:val="18"/>
        <w:rtl/>
        <w:lang w:val="en-US" w:eastAsia="ar-SY" w:bidi="ar-SY"/>
      </w:rPr>
      <w:t xml:space="preserve">م </w:t>
    </w:r>
    <w:r w:rsidRPr="001C630E">
      <w:rPr>
        <w:rFonts w:ascii="Arial" w:eastAsia="Times New Roman" w:hAnsi="Arial" w:cs="Arial" w:hint="eastAsia"/>
        <w:sz w:val="18"/>
        <w:szCs w:val="18"/>
        <w:rtl/>
        <w:lang w:val="en-US" w:eastAsia="ar-SY" w:bidi="ar-SY"/>
      </w:rPr>
      <w:t xml:space="preserve"> الترويج </w:t>
    </w:r>
    <w:r w:rsidRPr="001C630E">
      <w:rPr>
        <w:rFonts w:ascii="Arial" w:eastAsia="Times New Roman" w:hAnsi="Arial" w:cs="Arial"/>
        <w:sz w:val="18"/>
        <w:szCs w:val="18"/>
        <w:rtl/>
        <w:lang w:val="en-US" w:eastAsia="ar-SY" w:bidi="ar-SY"/>
      </w:rPr>
      <w:t xml:space="preserve"> التج</w:t>
    </w:r>
    <w:r w:rsidRPr="001C630E">
      <w:rPr>
        <w:rFonts w:ascii="Arial" w:eastAsia="Times New Roman" w:hAnsi="Arial" w:cs="Arial" w:hint="eastAsia"/>
        <w:sz w:val="18"/>
        <w:szCs w:val="18"/>
        <w:rtl/>
        <w:lang w:val="en-US" w:eastAsia="ar-SY" w:bidi="ar-SY"/>
      </w:rPr>
      <w:t>ـ</w:t>
    </w:r>
    <w:r w:rsidRPr="001C630E">
      <w:rPr>
        <w:rFonts w:ascii="Arial" w:eastAsia="Times New Roman" w:hAnsi="Arial" w:cs="Arial"/>
        <w:sz w:val="18"/>
        <w:szCs w:val="18"/>
        <w:rtl/>
        <w:lang w:val="en-US" w:eastAsia="ar-SY" w:bidi="ar-SY"/>
      </w:rPr>
      <w:t xml:space="preserve">اري  </w:t>
    </w:r>
    <w:r w:rsidRPr="001C630E">
      <w:rPr>
        <w:rFonts w:ascii="Arial" w:eastAsia="Times New Roman" w:hAnsi="Arial" w:cs="Arial" w:hint="eastAsia"/>
        <w:sz w:val="18"/>
        <w:szCs w:val="18"/>
        <w:rtl/>
        <w:lang w:val="en-US" w:eastAsia="ar-SY" w:bidi="ar-SY"/>
      </w:rPr>
      <w:t>ل</w:t>
    </w:r>
    <w:r w:rsidRPr="001C630E">
      <w:rPr>
        <w:rFonts w:ascii="Arial" w:eastAsia="Times New Roman" w:hAnsi="Arial" w:cs="Arial"/>
        <w:sz w:val="18"/>
        <w:szCs w:val="18"/>
        <w:rtl/>
        <w:lang w:val="en-US" w:eastAsia="ar-SY" w:bidi="ar-SY"/>
      </w:rPr>
      <w:t>لس</w:t>
    </w:r>
    <w:r w:rsidRPr="001C630E">
      <w:rPr>
        <w:rFonts w:ascii="Arial" w:eastAsia="Times New Roman" w:hAnsi="Arial" w:cs="Arial" w:hint="eastAsia"/>
        <w:sz w:val="18"/>
        <w:szCs w:val="18"/>
        <w:rtl/>
        <w:lang w:val="en-US" w:eastAsia="ar-SY" w:bidi="ar-SY"/>
      </w:rPr>
      <w:t>ــ</w:t>
    </w:r>
    <w:r w:rsidRPr="001C630E">
      <w:rPr>
        <w:rFonts w:ascii="Arial" w:eastAsia="Times New Roman" w:hAnsi="Arial" w:cs="Arial"/>
        <w:sz w:val="18"/>
        <w:szCs w:val="18"/>
        <w:rtl/>
        <w:lang w:val="en-US" w:eastAsia="ar-SY" w:bidi="ar-SY"/>
      </w:rPr>
      <w:t>فارة الايطالي</w:t>
    </w:r>
    <w:r w:rsidRPr="001C630E">
      <w:rPr>
        <w:rFonts w:ascii="Arial" w:eastAsia="Times New Roman" w:hAnsi="Arial" w:cs="Arial" w:hint="eastAsia"/>
        <w:sz w:val="18"/>
        <w:szCs w:val="18"/>
        <w:rtl/>
        <w:lang w:val="en-US" w:eastAsia="ar-SY" w:bidi="ar-SY"/>
      </w:rPr>
      <w:t>ــ</w:t>
    </w:r>
    <w:r w:rsidRPr="001C630E">
      <w:rPr>
        <w:rFonts w:ascii="Arial" w:eastAsia="Times New Roman" w:hAnsi="Arial" w:cs="Arial"/>
        <w:sz w:val="18"/>
        <w:szCs w:val="18"/>
        <w:rtl/>
        <w:lang w:val="en-US" w:eastAsia="ar-SY" w:bidi="ar-SY"/>
      </w:rPr>
      <w:t>ة</w:t>
    </w:r>
  </w:p>
  <w:p w:rsidR="001C630E" w:rsidRPr="001C630E" w:rsidRDefault="001C630E" w:rsidP="001C630E">
    <w:pPr>
      <w:tabs>
        <w:tab w:val="center" w:pos="4819"/>
        <w:tab w:val="right" w:pos="9638"/>
      </w:tabs>
      <w:suppressAutoHyphens/>
      <w:spacing w:after="0" w:line="240" w:lineRule="auto"/>
      <w:rPr>
        <w:rFonts w:ascii="Arial" w:eastAsia="Times New Roman" w:hAnsi="Arial" w:cs="Arial"/>
        <w:sz w:val="24"/>
        <w:szCs w:val="20"/>
        <w:lang w:val="en-US" w:eastAsia="ar-SA"/>
      </w:rPr>
    </w:pPr>
    <w:r w:rsidRPr="001C630E">
      <w:rPr>
        <w:rFonts w:ascii="Arial" w:eastAsia="Times New Roman" w:hAnsi="Arial" w:cs="Arial"/>
        <w:sz w:val="24"/>
        <w:szCs w:val="20"/>
        <w:lang w:val="en-US" w:eastAsia="ar-SA"/>
      </w:rPr>
      <w:t>Amman Office</w:t>
    </w:r>
  </w:p>
  <w:p w:rsidR="001C630E" w:rsidRDefault="001C630E">
    <w:pPr>
      <w:pStyle w:val="Header"/>
    </w:pPr>
  </w:p>
  <w:p w:rsidR="001C630E" w:rsidRDefault="001C6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0E"/>
    <w:rsid w:val="001C630E"/>
    <w:rsid w:val="00276A0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73E7"/>
  <w15:chartTrackingRefBased/>
  <w15:docId w15:val="{76ECF2C0-B6EE-4AFC-900F-4511A48A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30E"/>
  </w:style>
  <w:style w:type="paragraph" w:styleId="Footer">
    <w:name w:val="footer"/>
    <w:basedOn w:val="Normal"/>
    <w:link w:val="FooterChar"/>
    <w:uiPriority w:val="99"/>
    <w:unhideWhenUsed/>
    <w:rsid w:val="001C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Catani Rosrita</dc:creator>
  <cp:keywords/>
  <dc:description/>
  <cp:lastModifiedBy>Catani Rosrita</cp:lastModifiedBy>
  <cp:revision>1</cp:revision>
  <dcterms:created xsi:type="dcterms:W3CDTF">2018-10-15T06:52:00Z</dcterms:created>
  <dcterms:modified xsi:type="dcterms:W3CDTF">2018-10-15T06:54:00Z</dcterms:modified>
</cp:coreProperties>
</file>