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3891" w:rsidRPr="00801ED5" w:rsidRDefault="005D7A3D" w:rsidP="00BA2081">
      <w:pPr>
        <w:spacing w:line="276" w:lineRule="auto"/>
        <w:jc w:val="both"/>
        <w:rPr>
          <w:rFonts w:ascii="Arial" w:hAnsi="Arial" w:cs="Arial"/>
          <w:b/>
          <w:color w:val="5D6267"/>
        </w:rPr>
      </w:pPr>
      <w:r>
        <w:rPr>
          <w:rFonts w:ascii="Arial" w:hAnsi="Arial" w:cs="Arial"/>
          <w:b/>
          <w:noProof/>
          <w:color w:val="5D6267"/>
          <w:lang w:eastAsia="it-IT"/>
        </w:rPr>
        <w:pict>
          <v:shapetype id="_x0000_t202" coordsize="21600,21600" o:spt="202" path="m,l,21600r21600,l21600,xe">
            <v:stroke joinstyle="miter"/>
            <v:path gradientshapeok="t" o:connecttype="rect"/>
          </v:shapetype>
          <v:shape id="Text Box 8" o:spid="_x0000_s1026" type="#_x0000_t202" style="position:absolute;left:0;text-align:left;margin-left:-7.2pt;margin-top:5.95pt;width:279.95pt;height:20.6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cvdwIAAFkFAAAOAAAAZHJzL2Uyb0RvYy54bWysVFFPGzEMfp+0/xDlfVxbOMYqrqgDMU1C&#10;gFYmntNcQk9L4ixxe9f9epzctXRsL0x7uXPsz4792c75RWcN26gQG3AVHx+NOFNOQt24p4p/f7j+&#10;cMZZROFqYcCpim9V5Bez9+/OWz9VE1iBqVVgFMTFaesrvkL006KIcqWsiEfglSOjhmAF0jE8FXUQ&#10;LUW3ppiMRqdFC6H2AaSKkbRXvZHPcnytlcQ7raNCZipOuWH+hvxdpm8xOxfTpyD8qpFDGuIfsrCi&#10;cXTpPtSVQMHWofkjlG1kgAgajyTYArRupMo1UDXj0atqFivhVa6FyIl+T1P8f2Hl7eY+sKauODXK&#10;CUstelAdss/QsbPETuvjlEALTzDsSE1d3ukjKVPRnQ42/akcRnbiebvnNgWTpDwuy/L4tORMkm1y&#10;OpmUZQpTvHj7EPGLAsuSUPFAvcuUis1NxB66g6TLHFw3xuT+GfebgmL2GpUHYPBOhfQJZwm3RiUv&#10;474pTQTkvJMij566NIFtBA2NkFI5zCXnuIROKE13v8VxwCfXPqu3OO898s3gcO9sGwchs/Qq7frH&#10;LmXd44nqg7qTiN2yGxq8hHpL/Q3Q70f08rqhJtyIiPci0EJQS2nJ8Y4+2kBbcRgkzlYQfv1Nn/A0&#10;p2TlrKUFq3j8uRZBcWa+OprgT+OTk7SR+XBSfpzQIRxalocWt7aXQO0Y03PiZRYTHs1O1AHsI70F&#10;83QrmYSTdHfFcSdeYr/29JZINZ9nEO2gF3jjFl6m0IneNGIP3aMIfphDpAm+hd0qiumrceyxydPB&#10;fI2gmzyrieCe1YF42t887cNbkx6Iw3NGvbyIs2cAAAD//wMAUEsDBBQABgAIAAAAIQDpfA6w4AAA&#10;AA4BAAAPAAAAZHJzL2Rvd25yZXYueG1sTE9NT8MwDL0j7T9ERuK2JR3txLqm08TEFcQYSNyyxmsr&#10;GqdqsrX8e8wJLpat9/w+iu3kOnHFIbSeNCQLBQKp8ralWsPx7Wn+ACJEQ9Z0nlDDNwbYlrObwuTW&#10;j/SK10OsBYtQyI2GJsY+lzJUDToTFr5HYuzsB2cin0Mt7WBGFnedXCq1ks60xA6N6fGxwerrcHEa&#10;3p/Pnx+peqn3LutHPylJbi21vrud9hseuw2IiFP8+4DfDpwfSg528heyQXQa5kmaMpWBZA2CCVma&#10;ZSBOvNwvQZaF/F+j/AEAAP//AwBQSwECLQAUAAYACAAAACEAtoM4kv4AAADhAQAAEwAAAAAAAAAA&#10;AAAAAAAAAAAAW0NvbnRlbnRfVHlwZXNdLnhtbFBLAQItABQABgAIAAAAIQA4/SH/1gAAAJQBAAAL&#10;AAAAAAAAAAAAAAAAAC8BAABfcmVscy8ucmVsc1BLAQItABQABgAIAAAAIQCgrPcvdwIAAFkFAAAO&#10;AAAAAAAAAAAAAAAAAC4CAABkcnMvZTJvRG9jLnhtbFBLAQItABQABgAIAAAAIQDpfA6w4AAAAA4B&#10;AAAPAAAAAAAAAAAAAAAAANEEAABkcnMvZG93bnJldi54bWxQSwUGAAAAAAQABADzAAAA3gUAAAAA&#10;QUFBQUFBQUFBQUFBQUFBQUFORUV=&#10;" filled="f" stroked="f">
            <v:textbox style="mso-next-textbox:#Text Box 8">
              <w:txbxContent>
                <w:p w:rsidR="005A46EC" w:rsidRPr="00347E0B" w:rsidRDefault="00347E0B" w:rsidP="00347E0B">
                  <w:pPr>
                    <w:rPr>
                      <w:rFonts w:ascii="Arial" w:hAnsi="Arial" w:cs="Arial"/>
                      <w:sz w:val="18"/>
                      <w:szCs w:val="18"/>
                      <w:lang w:val="en-GB"/>
                    </w:rPr>
                  </w:pPr>
                  <w:r>
                    <w:rPr>
                      <w:rFonts w:ascii="Arial" w:hAnsi="Arial" w:cs="Arial"/>
                      <w:sz w:val="18"/>
                      <w:szCs w:val="18"/>
                      <w:lang w:val="en-GB"/>
                    </w:rPr>
                    <w:t xml:space="preserve">ICE </w:t>
                  </w:r>
                  <w:proofErr w:type="spellStart"/>
                  <w:r w:rsidRPr="008817C4">
                    <w:rPr>
                      <w:rFonts w:ascii="Arial" w:hAnsi="Arial" w:cs="Arial"/>
                      <w:sz w:val="18"/>
                      <w:szCs w:val="18"/>
                      <w:lang w:val="en-GB"/>
                    </w:rPr>
                    <w:t>Agência</w:t>
                  </w:r>
                  <w:proofErr w:type="spellEnd"/>
                  <w:r>
                    <w:rPr>
                      <w:rFonts w:ascii="Arial" w:hAnsi="Arial" w:cs="Arial"/>
                      <w:sz w:val="18"/>
                      <w:szCs w:val="18"/>
                      <w:lang w:val="en-GB"/>
                    </w:rPr>
                    <w:t xml:space="preserve"> - </w:t>
                  </w:r>
                  <w:proofErr w:type="spellStart"/>
                  <w:r w:rsidRPr="008817C4">
                    <w:rPr>
                      <w:rFonts w:ascii="Arial" w:hAnsi="Arial" w:cs="Arial"/>
                      <w:sz w:val="18"/>
                      <w:szCs w:val="18"/>
                      <w:lang w:val="en-GB"/>
                    </w:rPr>
                    <w:t>Escritório</w:t>
                  </w:r>
                  <w:proofErr w:type="spellEnd"/>
                  <w:r>
                    <w:rPr>
                      <w:rFonts w:ascii="Arial" w:hAnsi="Arial" w:cs="Arial"/>
                      <w:sz w:val="18"/>
                      <w:szCs w:val="18"/>
                      <w:lang w:val="en-GB"/>
                    </w:rPr>
                    <w:t xml:space="preserve"> de Maputo</w:t>
                  </w:r>
                </w:p>
              </w:txbxContent>
            </v:textbox>
            <w10:wrap type="square"/>
          </v:shape>
        </w:pict>
      </w:r>
    </w:p>
    <w:p w:rsidR="0080499A" w:rsidRPr="00801ED5" w:rsidRDefault="0080499A" w:rsidP="008A7BC3">
      <w:pPr>
        <w:jc w:val="both"/>
        <w:rPr>
          <w:rFonts w:ascii="Arial" w:hAnsi="Arial" w:cs="Arial"/>
          <w:b/>
          <w:color w:val="5D6267"/>
        </w:rPr>
      </w:pPr>
    </w:p>
    <w:p w:rsidR="00D62DD7" w:rsidRDefault="00D62DD7" w:rsidP="00D62DD7">
      <w:pPr>
        <w:autoSpaceDE w:val="0"/>
        <w:autoSpaceDN w:val="0"/>
        <w:adjustRightInd w:val="0"/>
        <w:jc w:val="center"/>
        <w:rPr>
          <w:rFonts w:ascii="Arial" w:hAnsi="Arial" w:cs="Arial"/>
          <w:b/>
          <w:bCs/>
          <w:sz w:val="32"/>
          <w:szCs w:val="32"/>
        </w:rPr>
      </w:pPr>
      <w:r w:rsidRPr="00AB179D">
        <w:rPr>
          <w:rFonts w:ascii="Arial" w:hAnsi="Arial" w:cs="Arial"/>
          <w:b/>
          <w:bCs/>
          <w:sz w:val="32"/>
          <w:szCs w:val="32"/>
        </w:rPr>
        <w:t>CONGIUNTURA ECONOMICA</w:t>
      </w:r>
    </w:p>
    <w:p w:rsidR="00D62DD7" w:rsidRDefault="00D62DD7" w:rsidP="00D62DD7">
      <w:pPr>
        <w:jc w:val="center"/>
        <w:rPr>
          <w:rFonts w:ascii="Arial" w:hAnsi="Arial" w:cs="Arial"/>
          <w:b/>
          <w:bCs/>
          <w:sz w:val="32"/>
          <w:szCs w:val="32"/>
        </w:rPr>
      </w:pPr>
    </w:p>
    <w:p w:rsidR="00D62DD7" w:rsidRPr="00AB179D" w:rsidRDefault="00D62DD7" w:rsidP="00D62DD7">
      <w:pPr>
        <w:jc w:val="center"/>
        <w:rPr>
          <w:rFonts w:ascii="Arial" w:hAnsi="Arial" w:cs="Arial"/>
          <w:sz w:val="32"/>
          <w:szCs w:val="32"/>
        </w:rPr>
      </w:pPr>
      <w:r w:rsidRPr="00AB179D">
        <w:rPr>
          <w:rFonts w:ascii="Arial" w:hAnsi="Arial" w:cs="Arial"/>
          <w:b/>
          <w:bCs/>
          <w:sz w:val="32"/>
          <w:szCs w:val="32"/>
        </w:rPr>
        <w:t>MOZAMBICO</w:t>
      </w:r>
    </w:p>
    <w:p w:rsidR="0080499A" w:rsidRDefault="0080499A"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r>
        <w:rPr>
          <w:rFonts w:ascii="Arial" w:hAnsi="Arial" w:cs="Arial"/>
          <w:noProof/>
          <w:color w:val="5D6267"/>
          <w:lang w:eastAsia="it-IT"/>
        </w:rPr>
        <w:drawing>
          <wp:anchor distT="0" distB="0" distL="114300" distR="114300" simplePos="0" relativeHeight="251663360" behindDoc="0" locked="0" layoutInCell="1" allowOverlap="1">
            <wp:simplePos x="0" y="0"/>
            <wp:positionH relativeFrom="column">
              <wp:posOffset>1882140</wp:posOffset>
            </wp:positionH>
            <wp:positionV relativeFrom="paragraph">
              <wp:posOffset>92075</wp:posOffset>
            </wp:positionV>
            <wp:extent cx="1972945" cy="4286250"/>
            <wp:effectExtent l="19050" t="0" r="8255"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8" cstate="print"/>
                    <a:srcRect/>
                    <a:stretch>
                      <a:fillRect/>
                    </a:stretch>
                  </pic:blipFill>
                  <pic:spPr bwMode="auto">
                    <a:xfrm>
                      <a:off x="0" y="0"/>
                      <a:ext cx="1972945" cy="4286250"/>
                    </a:xfrm>
                    <a:prstGeom prst="rect">
                      <a:avLst/>
                    </a:prstGeom>
                    <a:noFill/>
                    <a:ln w="9525">
                      <a:noFill/>
                      <a:miter lim="800000"/>
                      <a:headEnd/>
                      <a:tailEnd/>
                    </a:ln>
                  </pic:spPr>
                </pic:pic>
              </a:graphicData>
            </a:graphic>
          </wp:anchor>
        </w:drawing>
      </w: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456AC7" w:rsidP="00D62DD7">
      <w:pPr>
        <w:jc w:val="center"/>
        <w:rPr>
          <w:rFonts w:ascii="Arial" w:hAnsi="Arial" w:cs="Arial"/>
          <w:color w:val="5D6267"/>
        </w:rPr>
      </w:pPr>
      <w:r>
        <w:rPr>
          <w:rFonts w:ascii="Arial" w:hAnsi="Arial" w:cs="Arial"/>
          <w:color w:val="5D6267"/>
        </w:rPr>
        <w:t>MAGGIO</w:t>
      </w:r>
      <w:r w:rsidR="00D62DD7">
        <w:rPr>
          <w:rFonts w:ascii="Arial" w:hAnsi="Arial" w:cs="Arial"/>
          <w:color w:val="5D6267"/>
        </w:rPr>
        <w:t xml:space="preserve"> 2021</w:t>
      </w: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tbl>
      <w:tblPr>
        <w:tblpPr w:leftFromText="141" w:rightFromText="141" w:vertAnchor="text" w:horzAnchor="margin" w:tblpY="1640"/>
        <w:tblW w:w="9284" w:type="dxa"/>
        <w:tblCellMar>
          <w:left w:w="70" w:type="dxa"/>
          <w:right w:w="70" w:type="dxa"/>
        </w:tblCellMar>
        <w:tblLook w:val="04A0"/>
      </w:tblPr>
      <w:tblGrid>
        <w:gridCol w:w="4606"/>
        <w:gridCol w:w="4678"/>
      </w:tblGrid>
      <w:tr w:rsidR="00F821A7" w:rsidRPr="0081216E" w:rsidTr="00F821A7">
        <w:trPr>
          <w:trHeight w:val="305"/>
        </w:trPr>
        <w:tc>
          <w:tcPr>
            <w:tcW w:w="4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21A7" w:rsidRPr="0081216E" w:rsidRDefault="00F821A7" w:rsidP="00F821A7">
            <w:pPr>
              <w:rPr>
                <w:rFonts w:ascii="Arial" w:hAnsi="Arial" w:cs="Arial"/>
                <w:color w:val="000000"/>
                <w:lang w:eastAsia="pt-PT"/>
              </w:rPr>
            </w:pPr>
            <w:r w:rsidRPr="0081216E">
              <w:rPr>
                <w:rFonts w:ascii="Arial" w:hAnsi="Arial" w:cs="Arial"/>
                <w:color w:val="000000"/>
                <w:lang w:eastAsia="pt-PT"/>
              </w:rPr>
              <w:t> </w:t>
            </w:r>
            <w:r w:rsidRPr="0081216E">
              <w:rPr>
                <w:rFonts w:ascii="Arial" w:hAnsi="Arial" w:cs="Arial"/>
              </w:rPr>
              <w:t>Superficie</w:t>
            </w:r>
          </w:p>
        </w:tc>
        <w:tc>
          <w:tcPr>
            <w:tcW w:w="4678" w:type="dxa"/>
            <w:tcBorders>
              <w:top w:val="single" w:sz="4" w:space="0" w:color="auto"/>
              <w:left w:val="nil"/>
              <w:bottom w:val="single" w:sz="4" w:space="0" w:color="auto"/>
              <w:right w:val="single" w:sz="4" w:space="0" w:color="auto"/>
            </w:tcBorders>
            <w:shd w:val="clear" w:color="auto" w:fill="auto"/>
            <w:noWrap/>
            <w:vAlign w:val="bottom"/>
            <w:hideMark/>
          </w:tcPr>
          <w:p w:rsidR="00F821A7" w:rsidRPr="0081216E" w:rsidRDefault="00F821A7" w:rsidP="00F821A7">
            <w:pPr>
              <w:rPr>
                <w:rFonts w:ascii="Arial" w:hAnsi="Arial" w:cs="Arial"/>
                <w:color w:val="000000"/>
                <w:lang w:eastAsia="pt-PT"/>
              </w:rPr>
            </w:pPr>
            <w:r w:rsidRPr="0081216E">
              <w:rPr>
                <w:rFonts w:ascii="Arial" w:hAnsi="Arial" w:cs="Arial"/>
                <w:color w:val="000000"/>
                <w:lang w:eastAsia="pt-PT"/>
              </w:rPr>
              <w:t> </w:t>
            </w:r>
            <w:r>
              <w:rPr>
                <w:rFonts w:ascii="Arial" w:hAnsi="Arial" w:cs="Arial"/>
                <w:color w:val="000000"/>
                <w:lang w:eastAsia="pt-PT"/>
              </w:rPr>
              <w:t xml:space="preserve"> </w:t>
            </w:r>
            <w:r w:rsidRPr="0081216E">
              <w:rPr>
                <w:rFonts w:ascii="Arial" w:hAnsi="Arial" w:cs="Arial"/>
              </w:rPr>
              <w:t>799.380 kmq</w:t>
            </w:r>
          </w:p>
        </w:tc>
      </w:tr>
      <w:tr w:rsidR="00F821A7" w:rsidRPr="00AB179D" w:rsidTr="00F821A7">
        <w:trPr>
          <w:trHeight w:val="305"/>
        </w:trPr>
        <w:tc>
          <w:tcPr>
            <w:tcW w:w="4606" w:type="dxa"/>
            <w:tcBorders>
              <w:top w:val="nil"/>
              <w:left w:val="single" w:sz="4" w:space="0" w:color="auto"/>
              <w:bottom w:val="single" w:sz="4" w:space="0" w:color="auto"/>
              <w:right w:val="single" w:sz="4" w:space="0" w:color="auto"/>
            </w:tcBorders>
            <w:shd w:val="clear" w:color="auto" w:fill="auto"/>
            <w:noWrap/>
            <w:vAlign w:val="bottom"/>
            <w:hideMark/>
          </w:tcPr>
          <w:p w:rsidR="00F821A7" w:rsidRPr="0081216E" w:rsidRDefault="00F821A7" w:rsidP="00F821A7">
            <w:pPr>
              <w:rPr>
                <w:rFonts w:ascii="Arial" w:hAnsi="Arial" w:cs="Arial"/>
                <w:color w:val="000000"/>
                <w:lang w:eastAsia="pt-PT"/>
              </w:rPr>
            </w:pPr>
            <w:r w:rsidRPr="0081216E">
              <w:rPr>
                <w:rFonts w:ascii="Arial" w:hAnsi="Arial" w:cs="Arial"/>
                <w:color w:val="000000"/>
                <w:lang w:eastAsia="pt-PT"/>
              </w:rPr>
              <w:t> PIL 201</w:t>
            </w:r>
            <w:r>
              <w:rPr>
                <w:rFonts w:ascii="Arial" w:hAnsi="Arial" w:cs="Arial"/>
                <w:color w:val="000000"/>
                <w:lang w:eastAsia="pt-PT"/>
              </w:rPr>
              <w:t>9</w:t>
            </w:r>
          </w:p>
        </w:tc>
        <w:tc>
          <w:tcPr>
            <w:tcW w:w="4678" w:type="dxa"/>
            <w:tcBorders>
              <w:top w:val="nil"/>
              <w:left w:val="nil"/>
              <w:bottom w:val="single" w:sz="4" w:space="0" w:color="auto"/>
              <w:right w:val="single" w:sz="4" w:space="0" w:color="auto"/>
            </w:tcBorders>
            <w:shd w:val="clear" w:color="auto" w:fill="auto"/>
            <w:noWrap/>
            <w:vAlign w:val="bottom"/>
            <w:hideMark/>
          </w:tcPr>
          <w:p w:rsidR="00F821A7" w:rsidRPr="009F1C4C" w:rsidRDefault="00F821A7" w:rsidP="00F821A7">
            <w:pPr>
              <w:rPr>
                <w:rFonts w:ascii="Arial" w:hAnsi="Arial" w:cs="Arial"/>
                <w:color w:val="FF0000"/>
                <w:lang w:eastAsia="pt-PT"/>
              </w:rPr>
            </w:pPr>
            <w:r w:rsidRPr="00AB179D">
              <w:rPr>
                <w:rFonts w:ascii="Arial" w:hAnsi="Arial" w:cs="Arial"/>
                <w:color w:val="000000"/>
                <w:lang w:eastAsia="pt-PT"/>
              </w:rPr>
              <w:t> </w:t>
            </w:r>
            <w:r>
              <w:rPr>
                <w:rFonts w:ascii="Arial" w:hAnsi="Arial" w:cs="Arial"/>
                <w:color w:val="000000"/>
                <w:lang w:eastAsia="pt-PT"/>
              </w:rPr>
              <w:t xml:space="preserve"> </w:t>
            </w:r>
            <w:r w:rsidRPr="001D28CA">
              <w:rPr>
                <w:rFonts w:ascii="Arial" w:hAnsi="Arial" w:cs="Arial"/>
                <w:bCs/>
                <w:color w:val="000000" w:themeColor="text1"/>
              </w:rPr>
              <w:t>15,</w:t>
            </w:r>
            <w:r>
              <w:rPr>
                <w:rFonts w:ascii="Arial" w:hAnsi="Arial" w:cs="Arial"/>
                <w:bCs/>
                <w:color w:val="000000" w:themeColor="text1"/>
              </w:rPr>
              <w:t>4</w:t>
            </w:r>
            <w:r w:rsidRPr="001D28CA">
              <w:rPr>
                <w:rFonts w:ascii="Arial" w:hAnsi="Arial" w:cs="Arial"/>
                <w:bCs/>
                <w:color w:val="000000" w:themeColor="text1"/>
              </w:rPr>
              <w:t xml:space="preserve"> Miliardi di dollari</w:t>
            </w:r>
          </w:p>
        </w:tc>
      </w:tr>
      <w:tr w:rsidR="00F821A7" w:rsidRPr="0081216E" w:rsidTr="00F821A7">
        <w:trPr>
          <w:trHeight w:val="305"/>
        </w:trPr>
        <w:tc>
          <w:tcPr>
            <w:tcW w:w="4606" w:type="dxa"/>
            <w:tcBorders>
              <w:top w:val="nil"/>
              <w:left w:val="single" w:sz="4" w:space="0" w:color="auto"/>
              <w:bottom w:val="single" w:sz="4" w:space="0" w:color="auto"/>
              <w:right w:val="single" w:sz="4" w:space="0" w:color="auto"/>
            </w:tcBorders>
            <w:shd w:val="clear" w:color="auto" w:fill="auto"/>
            <w:noWrap/>
            <w:vAlign w:val="bottom"/>
            <w:hideMark/>
          </w:tcPr>
          <w:p w:rsidR="00F821A7" w:rsidRPr="0081216E" w:rsidRDefault="00F821A7" w:rsidP="00F821A7">
            <w:pPr>
              <w:rPr>
                <w:rFonts w:ascii="Arial" w:hAnsi="Arial" w:cs="Arial"/>
                <w:color w:val="000000"/>
                <w:lang w:eastAsia="pt-PT"/>
              </w:rPr>
            </w:pPr>
            <w:r w:rsidRPr="0081216E">
              <w:rPr>
                <w:rFonts w:ascii="Arial" w:hAnsi="Arial" w:cs="Arial"/>
                <w:color w:val="000000"/>
                <w:lang w:eastAsia="pt-PT"/>
              </w:rPr>
              <w:t> Capitale</w:t>
            </w:r>
          </w:p>
        </w:tc>
        <w:tc>
          <w:tcPr>
            <w:tcW w:w="4678" w:type="dxa"/>
            <w:tcBorders>
              <w:top w:val="nil"/>
              <w:left w:val="nil"/>
              <w:bottom w:val="single" w:sz="4" w:space="0" w:color="auto"/>
              <w:right w:val="single" w:sz="4" w:space="0" w:color="auto"/>
            </w:tcBorders>
            <w:shd w:val="clear" w:color="auto" w:fill="auto"/>
            <w:noWrap/>
            <w:vAlign w:val="bottom"/>
            <w:hideMark/>
          </w:tcPr>
          <w:p w:rsidR="00F821A7" w:rsidRPr="0081216E" w:rsidRDefault="00F821A7" w:rsidP="00F821A7">
            <w:pPr>
              <w:rPr>
                <w:rFonts w:ascii="Arial" w:hAnsi="Arial" w:cs="Arial"/>
                <w:color w:val="000000"/>
                <w:lang w:eastAsia="pt-PT"/>
              </w:rPr>
            </w:pPr>
            <w:r>
              <w:rPr>
                <w:rFonts w:ascii="Arial" w:hAnsi="Arial" w:cs="Arial"/>
                <w:color w:val="000000"/>
                <w:lang w:eastAsia="pt-PT"/>
              </w:rPr>
              <w:t xml:space="preserve">  </w:t>
            </w:r>
            <w:r w:rsidRPr="0081216E">
              <w:rPr>
                <w:rFonts w:ascii="Arial" w:hAnsi="Arial" w:cs="Arial"/>
                <w:color w:val="000000"/>
                <w:lang w:eastAsia="pt-PT"/>
              </w:rPr>
              <w:t>Maputo</w:t>
            </w:r>
          </w:p>
        </w:tc>
      </w:tr>
      <w:tr w:rsidR="00F821A7" w:rsidRPr="0081216E" w:rsidTr="00F821A7">
        <w:trPr>
          <w:trHeight w:val="305"/>
        </w:trPr>
        <w:tc>
          <w:tcPr>
            <w:tcW w:w="4606" w:type="dxa"/>
            <w:tcBorders>
              <w:top w:val="nil"/>
              <w:left w:val="single" w:sz="4" w:space="0" w:color="auto"/>
              <w:bottom w:val="single" w:sz="4" w:space="0" w:color="auto"/>
              <w:right w:val="single" w:sz="4" w:space="0" w:color="auto"/>
            </w:tcBorders>
            <w:shd w:val="clear" w:color="auto" w:fill="auto"/>
            <w:noWrap/>
            <w:vAlign w:val="bottom"/>
            <w:hideMark/>
          </w:tcPr>
          <w:p w:rsidR="00F821A7" w:rsidRPr="0081216E" w:rsidRDefault="00F821A7" w:rsidP="00F821A7">
            <w:pPr>
              <w:rPr>
                <w:rFonts w:ascii="Arial" w:hAnsi="Arial" w:cs="Arial"/>
                <w:color w:val="000000"/>
                <w:lang w:eastAsia="pt-PT"/>
              </w:rPr>
            </w:pPr>
            <w:r>
              <w:rPr>
                <w:rFonts w:ascii="Arial" w:hAnsi="Arial" w:cs="Arial"/>
                <w:color w:val="000000"/>
                <w:lang w:eastAsia="pt-PT"/>
              </w:rPr>
              <w:t> Popo</w:t>
            </w:r>
            <w:r w:rsidRPr="0081216E">
              <w:rPr>
                <w:rFonts w:ascii="Arial" w:hAnsi="Arial" w:cs="Arial"/>
                <w:color w:val="000000"/>
                <w:lang w:eastAsia="pt-PT"/>
              </w:rPr>
              <w:t>lazione</w:t>
            </w:r>
          </w:p>
        </w:tc>
        <w:tc>
          <w:tcPr>
            <w:tcW w:w="4678" w:type="dxa"/>
            <w:tcBorders>
              <w:top w:val="nil"/>
              <w:left w:val="nil"/>
              <w:bottom w:val="single" w:sz="4" w:space="0" w:color="auto"/>
              <w:right w:val="single" w:sz="4" w:space="0" w:color="auto"/>
            </w:tcBorders>
            <w:shd w:val="clear" w:color="auto" w:fill="auto"/>
            <w:noWrap/>
            <w:vAlign w:val="bottom"/>
            <w:hideMark/>
          </w:tcPr>
          <w:p w:rsidR="00F821A7" w:rsidRPr="0081216E" w:rsidRDefault="00F821A7" w:rsidP="00F821A7">
            <w:pPr>
              <w:rPr>
                <w:rFonts w:ascii="Arial" w:hAnsi="Arial" w:cs="Arial"/>
                <w:color w:val="000000"/>
                <w:lang w:eastAsia="pt-PT"/>
              </w:rPr>
            </w:pPr>
            <w:r>
              <w:rPr>
                <w:rFonts w:ascii="Arial" w:hAnsi="Arial" w:cs="Arial"/>
                <w:color w:val="000000"/>
                <w:lang w:eastAsia="pt-PT"/>
              </w:rPr>
              <w:t>  circa 30,4</w:t>
            </w:r>
            <w:r w:rsidRPr="0081216E">
              <w:rPr>
                <w:rFonts w:ascii="Arial" w:hAnsi="Arial" w:cs="Arial"/>
                <w:color w:val="000000"/>
                <w:lang w:eastAsia="pt-PT"/>
              </w:rPr>
              <w:t xml:space="preserve"> milioni di abitanti</w:t>
            </w:r>
          </w:p>
        </w:tc>
      </w:tr>
      <w:tr w:rsidR="00F821A7" w:rsidRPr="0081216E" w:rsidTr="00F821A7">
        <w:trPr>
          <w:trHeight w:val="305"/>
        </w:trPr>
        <w:tc>
          <w:tcPr>
            <w:tcW w:w="4606" w:type="dxa"/>
            <w:tcBorders>
              <w:top w:val="nil"/>
              <w:left w:val="single" w:sz="4" w:space="0" w:color="auto"/>
              <w:bottom w:val="single" w:sz="4" w:space="0" w:color="auto"/>
              <w:right w:val="single" w:sz="4" w:space="0" w:color="auto"/>
            </w:tcBorders>
            <w:shd w:val="clear" w:color="auto" w:fill="auto"/>
            <w:noWrap/>
            <w:vAlign w:val="bottom"/>
            <w:hideMark/>
          </w:tcPr>
          <w:p w:rsidR="00F821A7" w:rsidRPr="00AB179D" w:rsidRDefault="00F821A7" w:rsidP="00F821A7">
            <w:pPr>
              <w:rPr>
                <w:rFonts w:ascii="Arial" w:hAnsi="Arial" w:cs="Arial"/>
                <w:color w:val="000000"/>
                <w:lang w:eastAsia="pt-PT"/>
              </w:rPr>
            </w:pPr>
            <w:r w:rsidRPr="00AB179D">
              <w:rPr>
                <w:rFonts w:ascii="Arial" w:hAnsi="Arial" w:cs="Arial"/>
                <w:color w:val="000000"/>
                <w:lang w:eastAsia="pt-PT"/>
              </w:rPr>
              <w:t> </w:t>
            </w:r>
            <w:r w:rsidRPr="00AB179D">
              <w:rPr>
                <w:rFonts w:ascii="Arial" w:hAnsi="Arial" w:cs="Arial"/>
                <w:bCs/>
              </w:rPr>
              <w:t>Lingua Ufficiale</w:t>
            </w:r>
          </w:p>
        </w:tc>
        <w:tc>
          <w:tcPr>
            <w:tcW w:w="4678" w:type="dxa"/>
            <w:tcBorders>
              <w:top w:val="nil"/>
              <w:left w:val="nil"/>
              <w:bottom w:val="single" w:sz="4" w:space="0" w:color="auto"/>
              <w:right w:val="single" w:sz="4" w:space="0" w:color="auto"/>
            </w:tcBorders>
            <w:shd w:val="clear" w:color="auto" w:fill="auto"/>
            <w:noWrap/>
            <w:vAlign w:val="bottom"/>
            <w:hideMark/>
          </w:tcPr>
          <w:p w:rsidR="00F821A7" w:rsidRPr="00AB179D" w:rsidRDefault="00F821A7" w:rsidP="00F821A7">
            <w:pPr>
              <w:rPr>
                <w:rFonts w:ascii="Arial" w:hAnsi="Arial" w:cs="Arial"/>
                <w:color w:val="000000"/>
                <w:lang w:eastAsia="pt-PT"/>
              </w:rPr>
            </w:pPr>
            <w:r>
              <w:rPr>
                <w:rFonts w:ascii="Arial" w:hAnsi="Arial" w:cs="Arial"/>
                <w:bCs/>
              </w:rPr>
              <w:t xml:space="preserve">  </w:t>
            </w:r>
            <w:r w:rsidRPr="00AB179D">
              <w:rPr>
                <w:rFonts w:ascii="Arial" w:hAnsi="Arial" w:cs="Arial"/>
                <w:bCs/>
              </w:rPr>
              <w:t>Portoghese</w:t>
            </w:r>
          </w:p>
        </w:tc>
      </w:tr>
      <w:tr w:rsidR="00F821A7" w:rsidRPr="0081216E" w:rsidTr="00F821A7">
        <w:trPr>
          <w:trHeight w:val="305"/>
        </w:trPr>
        <w:tc>
          <w:tcPr>
            <w:tcW w:w="4606" w:type="dxa"/>
            <w:tcBorders>
              <w:top w:val="nil"/>
              <w:left w:val="single" w:sz="4" w:space="0" w:color="auto"/>
              <w:bottom w:val="single" w:sz="4" w:space="0" w:color="auto"/>
              <w:right w:val="single" w:sz="4" w:space="0" w:color="auto"/>
            </w:tcBorders>
            <w:shd w:val="clear" w:color="auto" w:fill="auto"/>
            <w:noWrap/>
            <w:vAlign w:val="bottom"/>
            <w:hideMark/>
          </w:tcPr>
          <w:p w:rsidR="00F821A7" w:rsidRPr="0081216E" w:rsidRDefault="00F821A7" w:rsidP="00F821A7">
            <w:pPr>
              <w:rPr>
                <w:rFonts w:ascii="Arial" w:hAnsi="Arial" w:cs="Arial"/>
                <w:color w:val="000000"/>
                <w:lang w:eastAsia="pt-PT"/>
              </w:rPr>
            </w:pPr>
            <w:r>
              <w:rPr>
                <w:rFonts w:ascii="Arial" w:hAnsi="Arial" w:cs="Arial"/>
                <w:color w:val="000000"/>
                <w:lang w:eastAsia="pt-PT"/>
              </w:rPr>
              <w:t xml:space="preserve"> Forma Istituzionale</w:t>
            </w:r>
          </w:p>
        </w:tc>
        <w:tc>
          <w:tcPr>
            <w:tcW w:w="4678" w:type="dxa"/>
            <w:tcBorders>
              <w:top w:val="nil"/>
              <w:left w:val="nil"/>
              <w:bottom w:val="single" w:sz="4" w:space="0" w:color="auto"/>
              <w:right w:val="single" w:sz="4" w:space="0" w:color="auto"/>
            </w:tcBorders>
            <w:shd w:val="clear" w:color="auto" w:fill="auto"/>
            <w:noWrap/>
            <w:vAlign w:val="bottom"/>
            <w:hideMark/>
          </w:tcPr>
          <w:p w:rsidR="00F821A7" w:rsidRPr="00AB179D" w:rsidRDefault="00F821A7" w:rsidP="00F821A7">
            <w:pPr>
              <w:rPr>
                <w:rFonts w:ascii="Arial" w:hAnsi="Arial" w:cs="Arial"/>
                <w:bCs/>
              </w:rPr>
            </w:pPr>
            <w:r>
              <w:rPr>
                <w:rFonts w:ascii="Arial" w:hAnsi="Arial" w:cs="Arial"/>
                <w:bCs/>
              </w:rPr>
              <w:t xml:space="preserve">  Repubblica Presidenziale Unitaria</w:t>
            </w:r>
          </w:p>
        </w:tc>
      </w:tr>
      <w:tr w:rsidR="00F821A7" w:rsidRPr="0081216E" w:rsidTr="00F821A7">
        <w:trPr>
          <w:trHeight w:val="305"/>
        </w:trPr>
        <w:tc>
          <w:tcPr>
            <w:tcW w:w="4606" w:type="dxa"/>
            <w:tcBorders>
              <w:top w:val="nil"/>
              <w:left w:val="single" w:sz="4" w:space="0" w:color="auto"/>
              <w:bottom w:val="single" w:sz="4" w:space="0" w:color="auto"/>
              <w:right w:val="single" w:sz="4" w:space="0" w:color="auto"/>
            </w:tcBorders>
            <w:shd w:val="clear" w:color="auto" w:fill="auto"/>
            <w:noWrap/>
            <w:vAlign w:val="bottom"/>
            <w:hideMark/>
          </w:tcPr>
          <w:p w:rsidR="00F821A7" w:rsidRPr="0081216E" w:rsidRDefault="00F821A7" w:rsidP="00F821A7">
            <w:pPr>
              <w:rPr>
                <w:rFonts w:ascii="Arial" w:hAnsi="Arial" w:cs="Arial"/>
                <w:color w:val="000000"/>
                <w:lang w:eastAsia="pt-PT"/>
              </w:rPr>
            </w:pPr>
            <w:r w:rsidRPr="0081216E">
              <w:rPr>
                <w:rFonts w:ascii="Arial" w:hAnsi="Arial" w:cs="Arial"/>
                <w:color w:val="000000"/>
                <w:lang w:eastAsia="pt-PT"/>
              </w:rPr>
              <w:t> </w:t>
            </w:r>
            <w:r>
              <w:rPr>
                <w:rFonts w:ascii="Arial" w:hAnsi="Arial" w:cs="Arial"/>
                <w:color w:val="000000"/>
                <w:lang w:eastAsia="pt-PT"/>
              </w:rPr>
              <w:t>Moneta</w:t>
            </w:r>
          </w:p>
        </w:tc>
        <w:tc>
          <w:tcPr>
            <w:tcW w:w="4678" w:type="dxa"/>
            <w:tcBorders>
              <w:top w:val="nil"/>
              <w:left w:val="nil"/>
              <w:bottom w:val="single" w:sz="4" w:space="0" w:color="auto"/>
              <w:right w:val="single" w:sz="4" w:space="0" w:color="auto"/>
            </w:tcBorders>
            <w:shd w:val="clear" w:color="auto" w:fill="auto"/>
            <w:noWrap/>
            <w:vAlign w:val="bottom"/>
            <w:hideMark/>
          </w:tcPr>
          <w:p w:rsidR="00F821A7" w:rsidRPr="00AB179D" w:rsidRDefault="00F821A7" w:rsidP="00F821A7">
            <w:pPr>
              <w:rPr>
                <w:rFonts w:ascii="Arial" w:hAnsi="Arial" w:cs="Arial"/>
                <w:color w:val="000000"/>
                <w:lang w:eastAsia="pt-PT"/>
              </w:rPr>
            </w:pPr>
            <w:r>
              <w:rPr>
                <w:rFonts w:ascii="Arial" w:hAnsi="Arial" w:cs="Arial"/>
                <w:bCs/>
              </w:rPr>
              <w:t xml:space="preserve">  </w:t>
            </w:r>
            <w:r w:rsidRPr="00AB179D">
              <w:rPr>
                <w:rFonts w:ascii="Arial" w:hAnsi="Arial" w:cs="Arial"/>
                <w:bCs/>
              </w:rPr>
              <w:t xml:space="preserve">METICAL 1 Euro = </w:t>
            </w:r>
            <w:r>
              <w:rPr>
                <w:rFonts w:ascii="Arial" w:hAnsi="Arial" w:cs="Arial"/>
                <w:bCs/>
              </w:rPr>
              <w:t>90</w:t>
            </w:r>
            <w:r w:rsidRPr="00AB179D">
              <w:rPr>
                <w:rFonts w:ascii="Arial" w:hAnsi="Arial" w:cs="Arial"/>
                <w:bCs/>
              </w:rPr>
              <w:t xml:space="preserve"> Metic</w:t>
            </w:r>
            <w:r>
              <w:rPr>
                <w:rFonts w:ascii="Arial" w:hAnsi="Arial" w:cs="Arial"/>
                <w:bCs/>
              </w:rPr>
              <w:t>ais circa</w:t>
            </w:r>
          </w:p>
        </w:tc>
      </w:tr>
      <w:tr w:rsidR="00F821A7" w:rsidRPr="00AB179D" w:rsidTr="00F821A7">
        <w:trPr>
          <w:trHeight w:val="305"/>
        </w:trPr>
        <w:tc>
          <w:tcPr>
            <w:tcW w:w="4606" w:type="dxa"/>
            <w:tcBorders>
              <w:top w:val="nil"/>
              <w:left w:val="single" w:sz="4" w:space="0" w:color="auto"/>
              <w:bottom w:val="single" w:sz="4" w:space="0" w:color="auto"/>
              <w:right w:val="single" w:sz="4" w:space="0" w:color="auto"/>
            </w:tcBorders>
            <w:shd w:val="clear" w:color="auto" w:fill="auto"/>
            <w:noWrap/>
            <w:vAlign w:val="bottom"/>
            <w:hideMark/>
          </w:tcPr>
          <w:p w:rsidR="00F821A7" w:rsidRPr="00AB179D" w:rsidRDefault="00F821A7" w:rsidP="00F821A7">
            <w:pPr>
              <w:rPr>
                <w:rFonts w:ascii="Arial" w:hAnsi="Arial" w:cs="Arial"/>
                <w:color w:val="000000"/>
                <w:lang w:eastAsia="pt-PT"/>
              </w:rPr>
            </w:pPr>
            <w:r>
              <w:rPr>
                <w:rFonts w:ascii="Arial" w:hAnsi="Arial" w:cs="Arial"/>
                <w:color w:val="000000"/>
                <w:lang w:eastAsia="pt-PT"/>
              </w:rPr>
              <w:t xml:space="preserve"> </w:t>
            </w:r>
            <w:r w:rsidRPr="00AB179D">
              <w:rPr>
                <w:rFonts w:ascii="Arial" w:hAnsi="Arial" w:cs="Arial"/>
                <w:color w:val="000000"/>
                <w:lang w:eastAsia="pt-PT"/>
              </w:rPr>
              <w:t>Presidente</w:t>
            </w:r>
          </w:p>
        </w:tc>
        <w:tc>
          <w:tcPr>
            <w:tcW w:w="4678" w:type="dxa"/>
            <w:tcBorders>
              <w:top w:val="nil"/>
              <w:left w:val="nil"/>
              <w:bottom w:val="single" w:sz="4" w:space="0" w:color="auto"/>
              <w:right w:val="single" w:sz="4" w:space="0" w:color="auto"/>
            </w:tcBorders>
            <w:shd w:val="clear" w:color="auto" w:fill="auto"/>
            <w:noWrap/>
            <w:vAlign w:val="bottom"/>
            <w:hideMark/>
          </w:tcPr>
          <w:p w:rsidR="00F821A7" w:rsidRPr="00AB179D" w:rsidRDefault="00F821A7" w:rsidP="00F821A7">
            <w:pPr>
              <w:rPr>
                <w:rFonts w:ascii="Arial" w:hAnsi="Arial" w:cs="Arial"/>
                <w:color w:val="000000"/>
                <w:lang w:eastAsia="pt-PT"/>
              </w:rPr>
            </w:pPr>
            <w:r w:rsidRPr="00AB179D">
              <w:rPr>
                <w:rFonts w:ascii="Arial" w:hAnsi="Arial" w:cs="Arial"/>
                <w:color w:val="000000"/>
                <w:lang w:eastAsia="pt-PT"/>
              </w:rPr>
              <w:t>  Filipe Jacinto Nyusi</w:t>
            </w:r>
          </w:p>
        </w:tc>
      </w:tr>
    </w:tbl>
    <w:p w:rsidR="00D62DD7" w:rsidRDefault="00D62DD7" w:rsidP="008A7BC3">
      <w:pPr>
        <w:jc w:val="both"/>
        <w:rPr>
          <w:rFonts w:ascii="Arial" w:hAnsi="Arial" w:cs="Arial"/>
          <w:color w:val="5D6267"/>
        </w:rPr>
      </w:pPr>
    </w:p>
    <w:p w:rsidR="00F821A7" w:rsidRPr="00F821A7" w:rsidRDefault="00F821A7" w:rsidP="00F821A7">
      <w:pPr>
        <w:jc w:val="center"/>
        <w:rPr>
          <w:rFonts w:ascii="Arial" w:hAnsi="Arial" w:cs="Arial"/>
        </w:rPr>
      </w:pPr>
      <w:r w:rsidRPr="00F821A7">
        <w:rPr>
          <w:rFonts w:ascii="Arial" w:hAnsi="Arial" w:cs="Arial"/>
        </w:rPr>
        <w:t>MOZAMBICO</w:t>
      </w:r>
    </w:p>
    <w:p w:rsidR="00F821A7" w:rsidRDefault="00F821A7" w:rsidP="008A7BC3">
      <w:pPr>
        <w:jc w:val="both"/>
        <w:rPr>
          <w:rFonts w:ascii="Arial" w:hAnsi="Arial" w:cs="Arial"/>
          <w:color w:val="5D6267"/>
        </w:rPr>
      </w:pPr>
    </w:p>
    <w:p w:rsidR="00F821A7" w:rsidRDefault="00F821A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A3369F" w:rsidRDefault="00A3369F" w:rsidP="00A3369F">
      <w:pPr>
        <w:autoSpaceDE w:val="0"/>
        <w:autoSpaceDN w:val="0"/>
        <w:adjustRightInd w:val="0"/>
        <w:jc w:val="center"/>
        <w:rPr>
          <w:rFonts w:ascii="Arial" w:hAnsi="Arial" w:cs="Arial"/>
        </w:rPr>
      </w:pPr>
    </w:p>
    <w:p w:rsidR="00A3369F" w:rsidRPr="0081216E" w:rsidRDefault="00A3369F" w:rsidP="00A3369F">
      <w:pPr>
        <w:autoSpaceDE w:val="0"/>
        <w:autoSpaceDN w:val="0"/>
        <w:adjustRightInd w:val="0"/>
        <w:jc w:val="center"/>
        <w:rPr>
          <w:rFonts w:ascii="Arial" w:hAnsi="Arial" w:cs="Arial"/>
        </w:rPr>
      </w:pPr>
      <w:r w:rsidRPr="0081216E">
        <w:rPr>
          <w:rFonts w:ascii="Arial" w:hAnsi="Arial" w:cs="Arial"/>
        </w:rPr>
        <w:t>FONTI</w:t>
      </w:r>
    </w:p>
    <w:p w:rsidR="00A3369F" w:rsidRPr="0081216E" w:rsidRDefault="00A3369F" w:rsidP="00A3369F">
      <w:pPr>
        <w:autoSpaceDE w:val="0"/>
        <w:autoSpaceDN w:val="0"/>
        <w:adjustRightInd w:val="0"/>
        <w:jc w:val="center"/>
        <w:rPr>
          <w:rFonts w:ascii="Arial" w:hAnsi="Arial" w:cs="Arial"/>
        </w:rPr>
      </w:pPr>
      <w:r w:rsidRPr="0081216E">
        <w:rPr>
          <w:rFonts w:ascii="Arial" w:hAnsi="Arial" w:cs="Arial"/>
        </w:rPr>
        <w:t>ICE - Ambasciata d’Italia a Maputo - ISTAT</w:t>
      </w:r>
    </w:p>
    <w:p w:rsidR="00A3369F" w:rsidRPr="0081216E" w:rsidRDefault="00A3369F" w:rsidP="00A3369F">
      <w:pPr>
        <w:autoSpaceDE w:val="0"/>
        <w:autoSpaceDN w:val="0"/>
        <w:adjustRightInd w:val="0"/>
        <w:jc w:val="center"/>
        <w:rPr>
          <w:rFonts w:ascii="Arial" w:hAnsi="Arial" w:cs="Arial"/>
        </w:rPr>
      </w:pPr>
      <w:r w:rsidRPr="0081216E">
        <w:rPr>
          <w:rFonts w:ascii="Arial" w:hAnsi="Arial" w:cs="Arial"/>
        </w:rPr>
        <w:t>InfomercatiEsteri – Scheda Paese Mozambico,</w:t>
      </w:r>
    </w:p>
    <w:p w:rsidR="00A3369F" w:rsidRPr="0081216E" w:rsidRDefault="00A3369F" w:rsidP="00A3369F">
      <w:pPr>
        <w:autoSpaceDE w:val="0"/>
        <w:autoSpaceDN w:val="0"/>
        <w:adjustRightInd w:val="0"/>
        <w:jc w:val="center"/>
        <w:rPr>
          <w:rFonts w:ascii="Arial" w:hAnsi="Arial" w:cs="Arial"/>
        </w:rPr>
      </w:pPr>
      <w:r w:rsidRPr="0081216E">
        <w:rPr>
          <w:rFonts w:ascii="Arial" w:hAnsi="Arial" w:cs="Arial"/>
        </w:rPr>
        <w:t>Economist Intelligence Unit - Country Report</w:t>
      </w:r>
    </w:p>
    <w:p w:rsidR="00D62DD7" w:rsidRDefault="00A3369F" w:rsidP="00A3369F">
      <w:pPr>
        <w:jc w:val="center"/>
        <w:rPr>
          <w:rFonts w:ascii="Arial" w:hAnsi="Arial" w:cs="Arial"/>
          <w:color w:val="5D6267"/>
        </w:rPr>
      </w:pPr>
      <w:r w:rsidRPr="0081216E">
        <w:rPr>
          <w:rFonts w:ascii="Arial" w:hAnsi="Arial" w:cs="Arial"/>
        </w:rPr>
        <w:t>AUTORE: ICE MAPUTO</w:t>
      </w: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D62DD7" w:rsidRDefault="00D62DD7" w:rsidP="008A7BC3">
      <w:pPr>
        <w:jc w:val="both"/>
        <w:rPr>
          <w:rFonts w:ascii="Arial" w:hAnsi="Arial" w:cs="Arial"/>
          <w:color w:val="5D6267"/>
        </w:rPr>
      </w:pPr>
    </w:p>
    <w:p w:rsidR="008E6942" w:rsidRDefault="008E6942" w:rsidP="008A7BC3">
      <w:pPr>
        <w:jc w:val="both"/>
        <w:rPr>
          <w:rFonts w:ascii="Arial" w:hAnsi="Arial" w:cs="Arial"/>
          <w:color w:val="5D6267"/>
        </w:rPr>
      </w:pPr>
    </w:p>
    <w:p w:rsidR="00D62DD7" w:rsidRDefault="00D62DD7" w:rsidP="008A7BC3">
      <w:pPr>
        <w:jc w:val="both"/>
        <w:rPr>
          <w:rFonts w:ascii="Arial" w:hAnsi="Arial" w:cs="Arial"/>
          <w:color w:val="5D6267"/>
        </w:rPr>
      </w:pPr>
    </w:p>
    <w:p w:rsidR="008E6942" w:rsidRDefault="008E6942" w:rsidP="008E6942">
      <w:pPr>
        <w:tabs>
          <w:tab w:val="left" w:pos="2370"/>
        </w:tabs>
        <w:jc w:val="center"/>
        <w:rPr>
          <w:rFonts w:ascii="Arial" w:hAnsi="Arial" w:cs="Arial"/>
          <w:b/>
        </w:rPr>
      </w:pPr>
    </w:p>
    <w:p w:rsidR="008E6942" w:rsidRDefault="008E6942" w:rsidP="008E6942">
      <w:pPr>
        <w:tabs>
          <w:tab w:val="left" w:pos="2370"/>
        </w:tabs>
        <w:jc w:val="center"/>
        <w:rPr>
          <w:rFonts w:ascii="Arial" w:hAnsi="Arial" w:cs="Arial"/>
          <w:b/>
        </w:rPr>
      </w:pPr>
    </w:p>
    <w:p w:rsidR="008E6942" w:rsidRDefault="008E6942" w:rsidP="008E6942">
      <w:pPr>
        <w:tabs>
          <w:tab w:val="left" w:pos="2370"/>
        </w:tabs>
        <w:jc w:val="center"/>
        <w:rPr>
          <w:rFonts w:ascii="Arial" w:hAnsi="Arial" w:cs="Arial"/>
          <w:b/>
        </w:rPr>
      </w:pPr>
    </w:p>
    <w:p w:rsidR="008E6942" w:rsidRDefault="008E6942" w:rsidP="008E6942">
      <w:pPr>
        <w:tabs>
          <w:tab w:val="left" w:pos="2370"/>
        </w:tabs>
        <w:jc w:val="center"/>
        <w:rPr>
          <w:rFonts w:ascii="Arial" w:hAnsi="Arial" w:cs="Arial"/>
          <w:b/>
        </w:rPr>
      </w:pPr>
      <w:r w:rsidRPr="00245571">
        <w:rPr>
          <w:rFonts w:ascii="Arial" w:hAnsi="Arial" w:cs="Arial"/>
          <w:b/>
        </w:rPr>
        <w:t>SOMMARIO</w:t>
      </w:r>
    </w:p>
    <w:p w:rsidR="008E6942" w:rsidRDefault="008E6942" w:rsidP="008E6942">
      <w:pPr>
        <w:tabs>
          <w:tab w:val="left" w:pos="2370"/>
        </w:tabs>
        <w:rPr>
          <w:rFonts w:ascii="Arial" w:hAnsi="Arial" w:cs="Arial"/>
          <w:b/>
        </w:rPr>
      </w:pPr>
    </w:p>
    <w:p w:rsidR="008E6942" w:rsidRDefault="008E6942" w:rsidP="008E6942">
      <w:pPr>
        <w:tabs>
          <w:tab w:val="left" w:pos="2370"/>
        </w:tabs>
        <w:rPr>
          <w:rFonts w:ascii="Arial" w:hAnsi="Arial" w:cs="Arial"/>
          <w:b/>
        </w:rPr>
      </w:pPr>
    </w:p>
    <w:p w:rsidR="008E6942" w:rsidRDefault="008E6942" w:rsidP="008E6942">
      <w:pPr>
        <w:tabs>
          <w:tab w:val="left" w:pos="2370"/>
        </w:tabs>
        <w:rPr>
          <w:rFonts w:ascii="Arial" w:hAnsi="Arial" w:cs="Arial"/>
          <w:b/>
        </w:rPr>
      </w:pPr>
    </w:p>
    <w:p w:rsidR="008E6942" w:rsidRDefault="008E6942" w:rsidP="008E6942">
      <w:pPr>
        <w:numPr>
          <w:ilvl w:val="0"/>
          <w:numId w:val="1"/>
        </w:numPr>
        <w:tabs>
          <w:tab w:val="left" w:pos="993"/>
        </w:tabs>
        <w:suppressAutoHyphens/>
        <w:spacing w:line="480" w:lineRule="auto"/>
        <w:rPr>
          <w:rFonts w:ascii="Arial" w:hAnsi="Arial" w:cs="Arial"/>
          <w:b/>
        </w:rPr>
      </w:pPr>
      <w:r>
        <w:rPr>
          <w:rFonts w:ascii="Arial" w:hAnsi="Arial" w:cs="Arial"/>
          <w:b/>
        </w:rPr>
        <w:t>Indicatori macroeconomici</w:t>
      </w:r>
      <w:r w:rsidRPr="00245571">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pag.   </w:t>
      </w:r>
      <w:r w:rsidR="009846D6">
        <w:rPr>
          <w:rFonts w:ascii="Arial" w:hAnsi="Arial" w:cs="Arial"/>
          <w:b/>
        </w:rPr>
        <w:t xml:space="preserve"> </w:t>
      </w:r>
      <w:r>
        <w:rPr>
          <w:rFonts w:ascii="Arial" w:hAnsi="Arial" w:cs="Arial"/>
          <w:b/>
        </w:rPr>
        <w:t>4</w:t>
      </w:r>
    </w:p>
    <w:p w:rsidR="008E6942" w:rsidRDefault="008E6942" w:rsidP="008E6942">
      <w:pPr>
        <w:numPr>
          <w:ilvl w:val="0"/>
          <w:numId w:val="1"/>
        </w:numPr>
        <w:tabs>
          <w:tab w:val="left" w:pos="993"/>
        </w:tabs>
        <w:suppressAutoHyphens/>
        <w:spacing w:line="480" w:lineRule="auto"/>
        <w:rPr>
          <w:rFonts w:ascii="Arial" w:hAnsi="Arial" w:cs="Arial"/>
          <w:b/>
        </w:rPr>
      </w:pPr>
      <w:r w:rsidRPr="00216D92">
        <w:rPr>
          <w:rFonts w:ascii="Arial" w:hAnsi="Arial" w:cs="Arial"/>
          <w:b/>
        </w:rPr>
        <w:t>Quadro macroeconomi</w:t>
      </w:r>
      <w:r>
        <w:rPr>
          <w:rFonts w:ascii="Arial" w:hAnsi="Arial" w:cs="Arial"/>
          <w:b/>
        </w:rPr>
        <w:t>co</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pag.   </w:t>
      </w:r>
      <w:r w:rsidR="009846D6">
        <w:rPr>
          <w:rFonts w:ascii="Arial" w:hAnsi="Arial" w:cs="Arial"/>
          <w:b/>
        </w:rPr>
        <w:t xml:space="preserve"> </w:t>
      </w:r>
      <w:r>
        <w:rPr>
          <w:rFonts w:ascii="Arial" w:hAnsi="Arial" w:cs="Arial"/>
          <w:b/>
        </w:rPr>
        <w:t xml:space="preserve">4 </w:t>
      </w:r>
    </w:p>
    <w:p w:rsidR="008E6942" w:rsidRDefault="008E6942" w:rsidP="008E6942">
      <w:pPr>
        <w:numPr>
          <w:ilvl w:val="0"/>
          <w:numId w:val="1"/>
        </w:numPr>
        <w:tabs>
          <w:tab w:val="left" w:pos="993"/>
        </w:tabs>
        <w:suppressAutoHyphens/>
        <w:spacing w:line="480" w:lineRule="auto"/>
        <w:rPr>
          <w:rFonts w:ascii="Arial" w:hAnsi="Arial" w:cs="Arial"/>
          <w:b/>
        </w:rPr>
      </w:pPr>
      <w:r w:rsidRPr="00216D92">
        <w:rPr>
          <w:rFonts w:ascii="Arial" w:hAnsi="Arial" w:cs="Arial"/>
          <w:b/>
        </w:rPr>
        <w:t>Poli</w:t>
      </w:r>
      <w:r>
        <w:rPr>
          <w:rFonts w:ascii="Arial" w:hAnsi="Arial" w:cs="Arial"/>
          <w:b/>
        </w:rPr>
        <w:t>tica economica</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pag.   </w:t>
      </w:r>
      <w:r w:rsidR="009846D6">
        <w:rPr>
          <w:rFonts w:ascii="Arial" w:hAnsi="Arial" w:cs="Arial"/>
          <w:b/>
        </w:rPr>
        <w:t xml:space="preserve"> 5</w:t>
      </w:r>
    </w:p>
    <w:p w:rsidR="008E6942" w:rsidRPr="00990BC3" w:rsidRDefault="008E6942" w:rsidP="008E6942">
      <w:pPr>
        <w:numPr>
          <w:ilvl w:val="0"/>
          <w:numId w:val="1"/>
        </w:numPr>
        <w:tabs>
          <w:tab w:val="left" w:pos="993"/>
        </w:tabs>
        <w:suppressAutoHyphens/>
        <w:spacing w:line="480" w:lineRule="auto"/>
        <w:rPr>
          <w:rFonts w:ascii="Arial" w:hAnsi="Arial" w:cs="Arial"/>
          <w:b/>
        </w:rPr>
      </w:pPr>
      <w:r w:rsidRPr="00216D92">
        <w:rPr>
          <w:rFonts w:ascii="Arial" w:hAnsi="Arial" w:cs="Arial"/>
          <w:b/>
        </w:rPr>
        <w:t xml:space="preserve">Rapporti con l’Italia – </w:t>
      </w:r>
      <w:r>
        <w:rPr>
          <w:rFonts w:ascii="Arial" w:hAnsi="Arial" w:cs="Arial"/>
          <w:b/>
        </w:rPr>
        <w:t xml:space="preserve">investimenti – </w:t>
      </w:r>
      <w:r w:rsidRPr="00216D92">
        <w:rPr>
          <w:rFonts w:ascii="Arial" w:hAnsi="Arial" w:cs="Arial"/>
          <w:b/>
        </w:rPr>
        <w:t>interscambio</w:t>
      </w:r>
      <w:r>
        <w:rPr>
          <w:rFonts w:ascii="Arial" w:hAnsi="Arial" w:cs="Arial"/>
          <w:b/>
        </w:rPr>
        <w:tab/>
      </w:r>
      <w:r>
        <w:rPr>
          <w:rFonts w:ascii="Arial" w:hAnsi="Arial" w:cs="Arial"/>
          <w:b/>
        </w:rPr>
        <w:tab/>
      </w:r>
      <w:r>
        <w:rPr>
          <w:rFonts w:ascii="Arial" w:hAnsi="Arial" w:cs="Arial"/>
          <w:b/>
        </w:rPr>
        <w:tab/>
        <w:t xml:space="preserve">pag.   </w:t>
      </w:r>
      <w:r w:rsidR="009846D6">
        <w:rPr>
          <w:rFonts w:ascii="Arial" w:hAnsi="Arial" w:cs="Arial"/>
          <w:b/>
        </w:rPr>
        <w:t xml:space="preserve"> 6</w:t>
      </w:r>
    </w:p>
    <w:p w:rsidR="008E6942" w:rsidRDefault="008E6942" w:rsidP="008E6942">
      <w:pPr>
        <w:numPr>
          <w:ilvl w:val="0"/>
          <w:numId w:val="1"/>
        </w:numPr>
        <w:tabs>
          <w:tab w:val="left" w:pos="993"/>
        </w:tabs>
        <w:suppressAutoHyphens/>
        <w:spacing w:line="480" w:lineRule="auto"/>
        <w:rPr>
          <w:rFonts w:ascii="Arial" w:hAnsi="Arial" w:cs="Arial"/>
          <w:b/>
        </w:rPr>
      </w:pPr>
      <w:r w:rsidRPr="00216D92">
        <w:rPr>
          <w:rFonts w:ascii="Arial" w:hAnsi="Arial" w:cs="Arial"/>
          <w:b/>
        </w:rPr>
        <w:t>Punti di forza</w:t>
      </w:r>
      <w:r>
        <w:rPr>
          <w:rFonts w:ascii="Arial" w:hAnsi="Arial" w:cs="Arial"/>
          <w:b/>
        </w:rPr>
        <w:t xml:space="preserve"> del Mozambico</w:t>
      </w:r>
      <w:r w:rsidR="001A0363">
        <w:rPr>
          <w:rFonts w:ascii="Arial" w:hAnsi="Arial" w:cs="Arial"/>
          <w:b/>
        </w:rPr>
        <w:tab/>
      </w:r>
      <w:r w:rsidR="001A0363">
        <w:rPr>
          <w:rFonts w:ascii="Arial" w:hAnsi="Arial" w:cs="Arial"/>
          <w:b/>
        </w:rPr>
        <w:tab/>
      </w:r>
      <w:r w:rsidR="001A0363">
        <w:rPr>
          <w:rFonts w:ascii="Arial" w:hAnsi="Arial" w:cs="Arial"/>
          <w:b/>
        </w:rPr>
        <w:tab/>
      </w:r>
      <w:r w:rsidR="001A0363">
        <w:rPr>
          <w:rFonts w:ascii="Arial" w:hAnsi="Arial" w:cs="Arial"/>
          <w:b/>
        </w:rPr>
        <w:tab/>
      </w:r>
      <w:r w:rsidR="001A0363">
        <w:rPr>
          <w:rFonts w:ascii="Arial" w:hAnsi="Arial" w:cs="Arial"/>
          <w:b/>
        </w:rPr>
        <w:tab/>
      </w:r>
      <w:r w:rsidR="001A0363">
        <w:rPr>
          <w:rFonts w:ascii="Arial" w:hAnsi="Arial" w:cs="Arial"/>
          <w:b/>
        </w:rPr>
        <w:tab/>
        <w:t xml:space="preserve">pag.  </w:t>
      </w:r>
      <w:r w:rsidR="009846D6">
        <w:rPr>
          <w:rFonts w:ascii="Arial" w:hAnsi="Arial" w:cs="Arial"/>
          <w:b/>
        </w:rPr>
        <w:t xml:space="preserve">  9</w:t>
      </w:r>
    </w:p>
    <w:p w:rsidR="008E6942" w:rsidRDefault="008E6942" w:rsidP="008E6942">
      <w:pPr>
        <w:numPr>
          <w:ilvl w:val="0"/>
          <w:numId w:val="1"/>
        </w:numPr>
        <w:tabs>
          <w:tab w:val="left" w:pos="993"/>
        </w:tabs>
        <w:suppressAutoHyphens/>
        <w:spacing w:line="480" w:lineRule="auto"/>
        <w:rPr>
          <w:rFonts w:ascii="Arial" w:hAnsi="Arial" w:cs="Arial"/>
          <w:b/>
        </w:rPr>
      </w:pPr>
      <w:r>
        <w:rPr>
          <w:rFonts w:ascii="Arial" w:hAnsi="Arial" w:cs="Arial"/>
          <w:b/>
        </w:rPr>
        <w:t>Debolezze del Mozambico</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pag.  </w:t>
      </w:r>
      <w:r w:rsidR="009846D6">
        <w:rPr>
          <w:rFonts w:ascii="Arial" w:hAnsi="Arial" w:cs="Arial"/>
          <w:b/>
        </w:rPr>
        <w:t xml:space="preserve">  9</w:t>
      </w:r>
    </w:p>
    <w:p w:rsidR="008E6942" w:rsidRDefault="008E6942" w:rsidP="008E6942">
      <w:pPr>
        <w:numPr>
          <w:ilvl w:val="0"/>
          <w:numId w:val="1"/>
        </w:numPr>
        <w:tabs>
          <w:tab w:val="left" w:pos="993"/>
        </w:tabs>
        <w:suppressAutoHyphens/>
        <w:spacing w:line="480" w:lineRule="auto"/>
        <w:rPr>
          <w:rFonts w:ascii="Arial" w:hAnsi="Arial" w:cs="Arial"/>
          <w:b/>
        </w:rPr>
      </w:pPr>
      <w:r w:rsidRPr="00216D92">
        <w:rPr>
          <w:rFonts w:ascii="Arial" w:hAnsi="Arial" w:cs="Arial"/>
          <w:b/>
        </w:rPr>
        <w:t xml:space="preserve">Opportunità </w:t>
      </w:r>
      <w:r>
        <w:rPr>
          <w:rFonts w:ascii="Arial" w:hAnsi="Arial" w:cs="Arial"/>
          <w:b/>
        </w:rPr>
        <w:t>di export</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pag.  </w:t>
      </w:r>
      <w:r w:rsidR="009846D6">
        <w:rPr>
          <w:rFonts w:ascii="Arial" w:hAnsi="Arial" w:cs="Arial"/>
          <w:b/>
        </w:rPr>
        <w:t>10</w:t>
      </w:r>
    </w:p>
    <w:p w:rsidR="008E6942" w:rsidRDefault="008E6942" w:rsidP="008E6942">
      <w:pPr>
        <w:numPr>
          <w:ilvl w:val="0"/>
          <w:numId w:val="1"/>
        </w:numPr>
        <w:tabs>
          <w:tab w:val="left" w:pos="993"/>
        </w:tabs>
        <w:suppressAutoHyphens/>
        <w:spacing w:line="480" w:lineRule="auto"/>
        <w:rPr>
          <w:rFonts w:ascii="Arial" w:hAnsi="Arial" w:cs="Arial"/>
          <w:b/>
        </w:rPr>
      </w:pPr>
      <w:r w:rsidRPr="00216D92">
        <w:rPr>
          <w:rFonts w:ascii="Arial" w:hAnsi="Arial" w:cs="Arial"/>
          <w:b/>
        </w:rPr>
        <w:t>Opportunità d</w:t>
      </w:r>
      <w:r>
        <w:rPr>
          <w:rFonts w:ascii="Arial" w:hAnsi="Arial" w:cs="Arial"/>
          <w:b/>
        </w:rPr>
        <w:t>i investimento</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pag.  </w:t>
      </w:r>
      <w:r w:rsidR="001A0363">
        <w:rPr>
          <w:rFonts w:ascii="Arial" w:hAnsi="Arial" w:cs="Arial"/>
          <w:b/>
        </w:rPr>
        <w:t>1</w:t>
      </w:r>
      <w:r w:rsidR="009846D6">
        <w:rPr>
          <w:rFonts w:ascii="Arial" w:hAnsi="Arial" w:cs="Arial"/>
          <w:b/>
        </w:rPr>
        <w:t>1</w:t>
      </w:r>
    </w:p>
    <w:p w:rsidR="008E6942" w:rsidRPr="00767178" w:rsidRDefault="008E6942" w:rsidP="008E6942">
      <w:pPr>
        <w:numPr>
          <w:ilvl w:val="0"/>
          <w:numId w:val="1"/>
        </w:numPr>
        <w:tabs>
          <w:tab w:val="left" w:pos="993"/>
        </w:tabs>
        <w:suppressAutoHyphens/>
        <w:spacing w:line="480" w:lineRule="auto"/>
        <w:rPr>
          <w:rFonts w:ascii="Arial" w:hAnsi="Arial" w:cs="Arial"/>
          <w:b/>
        </w:rPr>
      </w:pPr>
      <w:r w:rsidRPr="00767178">
        <w:rPr>
          <w:rFonts w:ascii="Arial" w:hAnsi="Arial" w:cs="Arial"/>
          <w:b/>
        </w:rPr>
        <w:t>Appuntame</w:t>
      </w:r>
      <w:r>
        <w:rPr>
          <w:rFonts w:ascii="Arial" w:hAnsi="Arial" w:cs="Arial"/>
          <w:b/>
        </w:rPr>
        <w:t>nti da non perdere</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767178">
        <w:rPr>
          <w:rFonts w:ascii="Arial" w:hAnsi="Arial" w:cs="Arial"/>
          <w:b/>
        </w:rPr>
        <w:t xml:space="preserve">pag. </w:t>
      </w:r>
      <w:r>
        <w:rPr>
          <w:rFonts w:ascii="Arial" w:hAnsi="Arial" w:cs="Arial"/>
          <w:b/>
        </w:rPr>
        <w:t xml:space="preserve"> 1</w:t>
      </w:r>
      <w:r w:rsidR="009846D6">
        <w:rPr>
          <w:rFonts w:ascii="Arial" w:hAnsi="Arial" w:cs="Arial"/>
          <w:b/>
        </w:rPr>
        <w:t>1</w:t>
      </w:r>
    </w:p>
    <w:p w:rsidR="008E6942" w:rsidRDefault="008E6942" w:rsidP="008E6942">
      <w:pPr>
        <w:numPr>
          <w:ilvl w:val="0"/>
          <w:numId w:val="1"/>
        </w:numPr>
        <w:tabs>
          <w:tab w:val="left" w:pos="993"/>
        </w:tabs>
        <w:suppressAutoHyphens/>
        <w:spacing w:line="480" w:lineRule="auto"/>
        <w:rPr>
          <w:rFonts w:ascii="Arial" w:hAnsi="Arial" w:cs="Arial"/>
          <w:b/>
        </w:rPr>
      </w:pPr>
      <w:r>
        <w:rPr>
          <w:rFonts w:ascii="Arial" w:hAnsi="Arial" w:cs="Arial"/>
          <w:b/>
        </w:rPr>
        <w:t>Contatti utili</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pag.  1</w:t>
      </w:r>
      <w:r w:rsidR="009846D6">
        <w:rPr>
          <w:rFonts w:ascii="Arial" w:hAnsi="Arial" w:cs="Arial"/>
          <w:b/>
        </w:rPr>
        <w:t>2</w:t>
      </w:r>
    </w:p>
    <w:p w:rsidR="00D62DD7" w:rsidRDefault="00D62DD7" w:rsidP="008A7BC3">
      <w:pPr>
        <w:jc w:val="both"/>
        <w:rPr>
          <w:rFonts w:ascii="Arial" w:hAnsi="Arial" w:cs="Arial"/>
          <w:color w:val="5D6267"/>
        </w:rPr>
      </w:pPr>
    </w:p>
    <w:p w:rsidR="008E6942" w:rsidRDefault="008E6942">
      <w:pPr>
        <w:rPr>
          <w:rFonts w:ascii="Arial" w:hAnsi="Arial" w:cs="Arial"/>
          <w:color w:val="5D6267"/>
        </w:rPr>
      </w:pPr>
      <w:r>
        <w:rPr>
          <w:rFonts w:ascii="Arial" w:hAnsi="Arial" w:cs="Arial"/>
          <w:color w:val="5D6267"/>
        </w:rPr>
        <w:br w:type="page"/>
      </w:r>
    </w:p>
    <w:p w:rsidR="00B0060D" w:rsidRPr="00883285" w:rsidRDefault="00B0060D" w:rsidP="00B0060D">
      <w:pPr>
        <w:numPr>
          <w:ilvl w:val="0"/>
          <w:numId w:val="3"/>
        </w:numPr>
        <w:suppressAutoHyphens/>
        <w:rPr>
          <w:rFonts w:ascii="Arial" w:hAnsi="Arial" w:cs="Arial"/>
          <w:b/>
          <w:color w:val="000000" w:themeColor="text1"/>
        </w:rPr>
      </w:pPr>
      <w:r w:rsidRPr="00883285">
        <w:rPr>
          <w:rFonts w:ascii="Arial" w:hAnsi="Arial" w:cs="Arial"/>
          <w:b/>
          <w:color w:val="000000" w:themeColor="text1"/>
        </w:rPr>
        <w:lastRenderedPageBreak/>
        <w:t>Indicatori macroeconomici</w:t>
      </w:r>
    </w:p>
    <w:p w:rsidR="00B0060D" w:rsidRPr="00883285" w:rsidRDefault="00B0060D" w:rsidP="00B0060D">
      <w:pPr>
        <w:pStyle w:val="Heading1"/>
        <w:jc w:val="center"/>
        <w:rPr>
          <w:rFonts w:ascii="Arial" w:hAnsi="Arial" w:cs="Arial"/>
          <w:caps/>
          <w:color w:val="000000" w:themeColor="text1"/>
          <w:sz w:val="24"/>
          <w:szCs w:val="24"/>
          <w:lang w:val="it-IT"/>
        </w:rPr>
      </w:pPr>
    </w:p>
    <w:tbl>
      <w:tblPr>
        <w:tblW w:w="9007" w:type="dxa"/>
        <w:shd w:val="clear" w:color="auto" w:fill="F4F4F4"/>
        <w:tblLayout w:type="fixed"/>
        <w:tblCellMar>
          <w:top w:w="15" w:type="dxa"/>
          <w:left w:w="15" w:type="dxa"/>
          <w:bottom w:w="15" w:type="dxa"/>
          <w:right w:w="15" w:type="dxa"/>
        </w:tblCellMar>
        <w:tblLook w:val="04A0"/>
      </w:tblPr>
      <w:tblGrid>
        <w:gridCol w:w="3903"/>
        <w:gridCol w:w="1134"/>
        <w:gridCol w:w="992"/>
        <w:gridCol w:w="992"/>
        <w:gridCol w:w="993"/>
        <w:gridCol w:w="993"/>
      </w:tblGrid>
      <w:tr w:rsidR="00B0060D" w:rsidRPr="0039755F" w:rsidTr="00B0060D">
        <w:trPr>
          <w:tblHeader/>
        </w:trPr>
        <w:tc>
          <w:tcPr>
            <w:tcW w:w="3903" w:type="dxa"/>
            <w:tcBorders>
              <w:top w:val="single" w:sz="6" w:space="0" w:color="E5EFF8"/>
              <w:left w:val="single" w:sz="6" w:space="0" w:color="E5EFF8"/>
              <w:bottom w:val="single" w:sz="6" w:space="0" w:color="E5EFF8"/>
              <w:right w:val="single" w:sz="6" w:space="0" w:color="E5EFF8"/>
            </w:tcBorders>
            <w:shd w:val="clear" w:color="auto" w:fill="F4F9FE"/>
            <w:tcMar>
              <w:top w:w="30" w:type="dxa"/>
              <w:left w:w="75" w:type="dxa"/>
              <w:bottom w:w="30" w:type="dxa"/>
              <w:right w:w="75" w:type="dxa"/>
            </w:tcMar>
            <w:hideMark/>
          </w:tcPr>
          <w:p w:rsidR="00B0060D" w:rsidRPr="0039755F" w:rsidRDefault="00B0060D" w:rsidP="00AB1230">
            <w:pPr>
              <w:jc w:val="center"/>
              <w:rPr>
                <w:rFonts w:ascii="Arial" w:hAnsi="Arial" w:cs="Arial"/>
                <w:b/>
                <w:bCs/>
                <w:color w:val="000000" w:themeColor="text1"/>
              </w:rPr>
            </w:pPr>
          </w:p>
        </w:tc>
        <w:tc>
          <w:tcPr>
            <w:tcW w:w="1134" w:type="dxa"/>
            <w:tcBorders>
              <w:top w:val="single" w:sz="6" w:space="0" w:color="E5EFF8"/>
              <w:left w:val="single" w:sz="6" w:space="0" w:color="E5EFF8"/>
              <w:bottom w:val="single" w:sz="6" w:space="0" w:color="E5EFF8"/>
              <w:right w:val="single" w:sz="6" w:space="0" w:color="E5EFF8"/>
            </w:tcBorders>
            <w:shd w:val="clear" w:color="auto" w:fill="F4F9FE"/>
            <w:tcMar>
              <w:top w:w="30" w:type="dxa"/>
              <w:left w:w="75" w:type="dxa"/>
              <w:bottom w:w="30" w:type="dxa"/>
              <w:right w:w="75" w:type="dxa"/>
            </w:tcMar>
            <w:hideMark/>
          </w:tcPr>
          <w:p w:rsidR="00B0060D" w:rsidRPr="0039755F" w:rsidRDefault="00B0060D" w:rsidP="00AB1230">
            <w:pPr>
              <w:jc w:val="right"/>
              <w:rPr>
                <w:rFonts w:ascii="Arial" w:hAnsi="Arial" w:cs="Arial"/>
                <w:b/>
                <w:bCs/>
                <w:color w:val="000000" w:themeColor="text1"/>
              </w:rPr>
            </w:pPr>
            <w:r w:rsidRPr="0039755F">
              <w:rPr>
                <w:rStyle w:val="Strong"/>
                <w:rFonts w:ascii="Arial" w:hAnsi="Arial" w:cs="Arial"/>
                <w:color w:val="000000" w:themeColor="text1"/>
              </w:rPr>
              <w:t>2016</w:t>
            </w:r>
          </w:p>
        </w:tc>
        <w:tc>
          <w:tcPr>
            <w:tcW w:w="992" w:type="dxa"/>
            <w:tcBorders>
              <w:top w:val="single" w:sz="6" w:space="0" w:color="E5EFF8"/>
              <w:left w:val="single" w:sz="6" w:space="0" w:color="E5EFF8"/>
              <w:bottom w:val="single" w:sz="6" w:space="0" w:color="E5EFF8"/>
              <w:right w:val="single" w:sz="6" w:space="0" w:color="E5EFF8"/>
            </w:tcBorders>
            <w:shd w:val="clear" w:color="auto" w:fill="F4F9FE"/>
            <w:tcMar>
              <w:top w:w="30" w:type="dxa"/>
              <w:left w:w="75" w:type="dxa"/>
              <w:bottom w:w="30" w:type="dxa"/>
              <w:right w:w="75" w:type="dxa"/>
            </w:tcMar>
            <w:hideMark/>
          </w:tcPr>
          <w:p w:rsidR="00B0060D" w:rsidRPr="0039755F" w:rsidRDefault="00B0060D" w:rsidP="00AB1230">
            <w:pPr>
              <w:jc w:val="right"/>
              <w:rPr>
                <w:rFonts w:ascii="Arial" w:hAnsi="Arial" w:cs="Arial"/>
                <w:b/>
                <w:bCs/>
                <w:color w:val="000000" w:themeColor="text1"/>
              </w:rPr>
            </w:pPr>
            <w:r w:rsidRPr="0039755F">
              <w:rPr>
                <w:rStyle w:val="Strong"/>
                <w:rFonts w:ascii="Arial" w:hAnsi="Arial" w:cs="Arial"/>
                <w:color w:val="000000" w:themeColor="text1"/>
              </w:rPr>
              <w:t>2017</w:t>
            </w:r>
          </w:p>
        </w:tc>
        <w:tc>
          <w:tcPr>
            <w:tcW w:w="992" w:type="dxa"/>
            <w:tcBorders>
              <w:top w:val="single" w:sz="6" w:space="0" w:color="E5EFF8"/>
              <w:left w:val="single" w:sz="6" w:space="0" w:color="E5EFF8"/>
              <w:bottom w:val="single" w:sz="6" w:space="0" w:color="E5EFF8"/>
              <w:right w:val="single" w:sz="6" w:space="0" w:color="E5EFF8"/>
            </w:tcBorders>
            <w:shd w:val="clear" w:color="auto" w:fill="F4F9FE"/>
            <w:tcMar>
              <w:top w:w="30" w:type="dxa"/>
              <w:left w:w="75" w:type="dxa"/>
              <w:bottom w:w="30" w:type="dxa"/>
              <w:right w:w="75" w:type="dxa"/>
            </w:tcMar>
            <w:hideMark/>
          </w:tcPr>
          <w:p w:rsidR="00B0060D" w:rsidRPr="0039755F" w:rsidRDefault="00B0060D" w:rsidP="00AB1230">
            <w:pPr>
              <w:jc w:val="right"/>
              <w:rPr>
                <w:rFonts w:ascii="Arial" w:hAnsi="Arial" w:cs="Arial"/>
                <w:b/>
                <w:bCs/>
                <w:color w:val="000000" w:themeColor="text1"/>
              </w:rPr>
            </w:pPr>
            <w:r w:rsidRPr="0039755F">
              <w:rPr>
                <w:rStyle w:val="Strong"/>
                <w:rFonts w:ascii="Arial" w:hAnsi="Arial" w:cs="Arial"/>
                <w:color w:val="000000" w:themeColor="text1"/>
              </w:rPr>
              <w:t>2018</w:t>
            </w:r>
          </w:p>
        </w:tc>
        <w:tc>
          <w:tcPr>
            <w:tcW w:w="993" w:type="dxa"/>
            <w:tcBorders>
              <w:top w:val="single" w:sz="6" w:space="0" w:color="E5EFF8"/>
              <w:left w:val="single" w:sz="6" w:space="0" w:color="E5EFF8"/>
              <w:bottom w:val="single" w:sz="6" w:space="0" w:color="E5EFF8"/>
              <w:right w:val="single" w:sz="6" w:space="0" w:color="E5EFF8"/>
            </w:tcBorders>
            <w:shd w:val="clear" w:color="auto" w:fill="F4F9FE"/>
            <w:tcMar>
              <w:top w:w="30" w:type="dxa"/>
              <w:left w:w="75" w:type="dxa"/>
              <w:bottom w:w="30" w:type="dxa"/>
              <w:right w:w="75" w:type="dxa"/>
            </w:tcMar>
            <w:hideMark/>
          </w:tcPr>
          <w:p w:rsidR="00B0060D" w:rsidRPr="0039755F" w:rsidRDefault="00B0060D" w:rsidP="00AB1230">
            <w:pPr>
              <w:jc w:val="right"/>
              <w:rPr>
                <w:rFonts w:ascii="Arial" w:hAnsi="Arial" w:cs="Arial"/>
                <w:b/>
                <w:bCs/>
                <w:color w:val="000000" w:themeColor="text1"/>
              </w:rPr>
            </w:pPr>
            <w:r w:rsidRPr="0039755F">
              <w:rPr>
                <w:rStyle w:val="Strong"/>
                <w:rFonts w:ascii="Arial" w:hAnsi="Arial" w:cs="Arial"/>
                <w:color w:val="000000" w:themeColor="text1"/>
              </w:rPr>
              <w:t>2019</w:t>
            </w:r>
          </w:p>
        </w:tc>
        <w:tc>
          <w:tcPr>
            <w:tcW w:w="993" w:type="dxa"/>
            <w:tcBorders>
              <w:top w:val="single" w:sz="6" w:space="0" w:color="E5EFF8"/>
              <w:left w:val="single" w:sz="6" w:space="0" w:color="E5EFF8"/>
              <w:bottom w:val="single" w:sz="6" w:space="0" w:color="E5EFF8"/>
              <w:right w:val="single" w:sz="6" w:space="0" w:color="E5EFF8"/>
            </w:tcBorders>
            <w:shd w:val="clear" w:color="auto" w:fill="F4F9FE"/>
          </w:tcPr>
          <w:p w:rsidR="00B0060D" w:rsidRPr="0039755F" w:rsidRDefault="00B0060D" w:rsidP="00AB1230">
            <w:pPr>
              <w:jc w:val="right"/>
              <w:rPr>
                <w:rStyle w:val="Strong"/>
                <w:rFonts w:ascii="Arial" w:hAnsi="Arial" w:cs="Arial"/>
                <w:color w:val="000000" w:themeColor="text1"/>
              </w:rPr>
            </w:pPr>
            <w:r>
              <w:rPr>
                <w:rStyle w:val="Strong"/>
                <w:rFonts w:ascii="Arial" w:hAnsi="Arial" w:cs="Arial"/>
                <w:color w:val="000000" w:themeColor="text1"/>
              </w:rPr>
              <w:t>2020</w:t>
            </w:r>
          </w:p>
        </w:tc>
      </w:tr>
      <w:tr w:rsidR="00B0060D" w:rsidRPr="0039755F" w:rsidTr="00B0060D">
        <w:tc>
          <w:tcPr>
            <w:tcW w:w="3903" w:type="dxa"/>
            <w:tcBorders>
              <w:top w:val="single" w:sz="6" w:space="0" w:color="E5EFF8"/>
              <w:left w:val="single" w:sz="6" w:space="0" w:color="E5EFF8"/>
              <w:bottom w:val="single" w:sz="6" w:space="0" w:color="E5EFF8"/>
              <w:right w:val="single" w:sz="6" w:space="0" w:color="E5EFF8"/>
            </w:tcBorders>
            <w:shd w:val="clear" w:color="auto" w:fill="F9FCFE"/>
            <w:tcMar>
              <w:top w:w="30" w:type="dxa"/>
              <w:left w:w="75" w:type="dxa"/>
              <w:bottom w:w="30" w:type="dxa"/>
              <w:right w:w="75" w:type="dxa"/>
            </w:tcMar>
            <w:hideMark/>
          </w:tcPr>
          <w:p w:rsidR="00B0060D" w:rsidRPr="0039755F" w:rsidRDefault="00B0060D" w:rsidP="00AB1230">
            <w:pPr>
              <w:rPr>
                <w:rFonts w:ascii="Arial" w:hAnsi="Arial" w:cs="Arial"/>
                <w:b/>
                <w:bCs/>
                <w:color w:val="000000" w:themeColor="text1"/>
              </w:rPr>
            </w:pPr>
            <w:r w:rsidRPr="0039755F">
              <w:rPr>
                <w:rFonts w:ascii="Arial" w:hAnsi="Arial" w:cs="Arial"/>
                <w:b/>
                <w:bCs/>
                <w:color w:val="000000" w:themeColor="text1"/>
              </w:rPr>
              <w:t>PIL Nominale (US$ mld)</w:t>
            </w:r>
          </w:p>
        </w:tc>
        <w:tc>
          <w:tcPr>
            <w:tcW w:w="1134" w:type="dxa"/>
            <w:tcBorders>
              <w:top w:val="single" w:sz="6" w:space="0" w:color="E5EFF8"/>
              <w:left w:val="single" w:sz="6" w:space="0" w:color="E5EFF8"/>
              <w:bottom w:val="single" w:sz="6" w:space="0" w:color="E5EFF8"/>
              <w:right w:val="single" w:sz="6" w:space="0" w:color="E5EFF8"/>
            </w:tcBorders>
            <w:shd w:val="clear" w:color="auto" w:fill="F4F4F4"/>
            <w:tcMar>
              <w:top w:w="30" w:type="dxa"/>
              <w:left w:w="75" w:type="dxa"/>
              <w:bottom w:w="30" w:type="dxa"/>
              <w:right w:w="75" w:type="dxa"/>
            </w:tcMar>
            <w:hideMark/>
          </w:tcPr>
          <w:p w:rsidR="00B0060D" w:rsidRPr="0039755F" w:rsidRDefault="00B0060D" w:rsidP="00AB1230">
            <w:pPr>
              <w:jc w:val="right"/>
              <w:rPr>
                <w:rFonts w:ascii="Arial" w:hAnsi="Arial" w:cs="Arial"/>
                <w:color w:val="000000" w:themeColor="text1"/>
              </w:rPr>
            </w:pPr>
            <w:r w:rsidRPr="0039755F">
              <w:rPr>
                <w:rFonts w:ascii="Arial" w:hAnsi="Arial" w:cs="Arial"/>
                <w:color w:val="000000" w:themeColor="text1"/>
              </w:rPr>
              <w:t>11,9</w:t>
            </w:r>
          </w:p>
        </w:tc>
        <w:tc>
          <w:tcPr>
            <w:tcW w:w="992" w:type="dxa"/>
            <w:tcBorders>
              <w:top w:val="single" w:sz="6" w:space="0" w:color="E5EFF8"/>
              <w:left w:val="single" w:sz="6" w:space="0" w:color="E5EFF8"/>
              <w:bottom w:val="single" w:sz="6" w:space="0" w:color="E5EFF8"/>
              <w:right w:val="single" w:sz="6" w:space="0" w:color="E5EFF8"/>
            </w:tcBorders>
            <w:shd w:val="clear" w:color="auto" w:fill="F4F4F4"/>
            <w:tcMar>
              <w:top w:w="30" w:type="dxa"/>
              <w:left w:w="75" w:type="dxa"/>
              <w:bottom w:w="30" w:type="dxa"/>
              <w:right w:w="75" w:type="dxa"/>
            </w:tcMar>
            <w:hideMark/>
          </w:tcPr>
          <w:p w:rsidR="00B0060D" w:rsidRPr="0039755F" w:rsidRDefault="00B0060D" w:rsidP="00AB1230">
            <w:pPr>
              <w:jc w:val="right"/>
              <w:rPr>
                <w:rFonts w:ascii="Arial" w:hAnsi="Arial" w:cs="Arial"/>
                <w:color w:val="000000" w:themeColor="text1"/>
              </w:rPr>
            </w:pPr>
            <w:r w:rsidRPr="0039755F">
              <w:rPr>
                <w:rFonts w:ascii="Arial" w:hAnsi="Arial" w:cs="Arial"/>
                <w:color w:val="000000" w:themeColor="text1"/>
              </w:rPr>
              <w:t>13,2</w:t>
            </w:r>
          </w:p>
        </w:tc>
        <w:tc>
          <w:tcPr>
            <w:tcW w:w="992" w:type="dxa"/>
            <w:tcBorders>
              <w:top w:val="single" w:sz="6" w:space="0" w:color="E5EFF8"/>
              <w:left w:val="single" w:sz="6" w:space="0" w:color="E5EFF8"/>
              <w:bottom w:val="single" w:sz="6" w:space="0" w:color="E5EFF8"/>
              <w:right w:val="single" w:sz="6" w:space="0" w:color="E5EFF8"/>
            </w:tcBorders>
            <w:shd w:val="clear" w:color="auto" w:fill="F4F4F4"/>
            <w:tcMar>
              <w:top w:w="30" w:type="dxa"/>
              <w:left w:w="75" w:type="dxa"/>
              <w:bottom w:w="30" w:type="dxa"/>
              <w:right w:w="75" w:type="dxa"/>
            </w:tcMar>
            <w:hideMark/>
          </w:tcPr>
          <w:p w:rsidR="00B0060D" w:rsidRPr="0039755F" w:rsidRDefault="00B0060D" w:rsidP="00AB1230">
            <w:pPr>
              <w:jc w:val="right"/>
              <w:rPr>
                <w:rFonts w:ascii="Arial" w:hAnsi="Arial" w:cs="Arial"/>
                <w:color w:val="000000" w:themeColor="text1"/>
              </w:rPr>
            </w:pPr>
            <w:r w:rsidRPr="0039755F">
              <w:rPr>
                <w:rFonts w:ascii="Arial" w:hAnsi="Arial" w:cs="Arial"/>
                <w:color w:val="000000" w:themeColor="text1"/>
              </w:rPr>
              <w:t>14,7</w:t>
            </w:r>
          </w:p>
        </w:tc>
        <w:tc>
          <w:tcPr>
            <w:tcW w:w="993" w:type="dxa"/>
            <w:tcBorders>
              <w:top w:val="single" w:sz="6" w:space="0" w:color="E5EFF8"/>
              <w:left w:val="single" w:sz="6" w:space="0" w:color="E5EFF8"/>
              <w:bottom w:val="single" w:sz="6" w:space="0" w:color="E5EFF8"/>
              <w:right w:val="single" w:sz="6" w:space="0" w:color="E5EFF8"/>
            </w:tcBorders>
            <w:shd w:val="clear" w:color="auto" w:fill="F4F4F4"/>
            <w:tcMar>
              <w:top w:w="30" w:type="dxa"/>
              <w:left w:w="75" w:type="dxa"/>
              <w:bottom w:w="30" w:type="dxa"/>
              <w:right w:w="75" w:type="dxa"/>
            </w:tcMar>
            <w:hideMark/>
          </w:tcPr>
          <w:p w:rsidR="00B0060D" w:rsidRPr="0039755F" w:rsidRDefault="00B0060D" w:rsidP="00AB1230">
            <w:pPr>
              <w:jc w:val="right"/>
              <w:rPr>
                <w:rFonts w:ascii="Arial" w:hAnsi="Arial" w:cs="Arial"/>
                <w:color w:val="000000" w:themeColor="text1"/>
              </w:rPr>
            </w:pPr>
            <w:r w:rsidRPr="0039755F">
              <w:rPr>
                <w:rFonts w:ascii="Arial" w:hAnsi="Arial" w:cs="Arial"/>
                <w:color w:val="000000" w:themeColor="text1"/>
              </w:rPr>
              <w:t>15,5</w:t>
            </w:r>
          </w:p>
        </w:tc>
        <w:tc>
          <w:tcPr>
            <w:tcW w:w="993" w:type="dxa"/>
            <w:tcBorders>
              <w:top w:val="single" w:sz="6" w:space="0" w:color="E5EFF8"/>
              <w:left w:val="single" w:sz="6" w:space="0" w:color="E5EFF8"/>
              <w:bottom w:val="single" w:sz="6" w:space="0" w:color="E5EFF8"/>
              <w:right w:val="single" w:sz="6" w:space="0" w:color="E5EFF8"/>
            </w:tcBorders>
            <w:shd w:val="clear" w:color="auto" w:fill="F4F4F4"/>
          </w:tcPr>
          <w:p w:rsidR="00B0060D" w:rsidRPr="0039755F" w:rsidRDefault="00B0060D" w:rsidP="00AB1230">
            <w:pPr>
              <w:jc w:val="right"/>
              <w:rPr>
                <w:rFonts w:ascii="Arial" w:hAnsi="Arial" w:cs="Arial"/>
                <w:color w:val="000000" w:themeColor="text1"/>
              </w:rPr>
            </w:pPr>
            <w:r>
              <w:rPr>
                <w:rFonts w:ascii="Arial" w:hAnsi="Arial" w:cs="Arial"/>
                <w:color w:val="000000" w:themeColor="text1"/>
              </w:rPr>
              <w:t>15,4</w:t>
            </w:r>
          </w:p>
        </w:tc>
      </w:tr>
      <w:tr w:rsidR="00B0060D" w:rsidRPr="0081216E" w:rsidTr="00B0060D">
        <w:tc>
          <w:tcPr>
            <w:tcW w:w="3903" w:type="dxa"/>
            <w:tcBorders>
              <w:top w:val="single" w:sz="6" w:space="0" w:color="E5EFF8"/>
              <w:left w:val="single" w:sz="6" w:space="0" w:color="E5EFF8"/>
              <w:bottom w:val="single" w:sz="6" w:space="0" w:color="E5EFF8"/>
              <w:right w:val="single" w:sz="6" w:space="0" w:color="E5EFF8"/>
            </w:tcBorders>
            <w:shd w:val="clear" w:color="auto" w:fill="F9FCFE"/>
            <w:tcMar>
              <w:top w:w="30" w:type="dxa"/>
              <w:left w:w="75" w:type="dxa"/>
              <w:bottom w:w="30" w:type="dxa"/>
              <w:right w:w="75" w:type="dxa"/>
            </w:tcMar>
            <w:hideMark/>
          </w:tcPr>
          <w:p w:rsidR="00B0060D" w:rsidRPr="009F1C4C" w:rsidRDefault="00B0060D" w:rsidP="00AB1230">
            <w:pPr>
              <w:rPr>
                <w:rFonts w:ascii="Arial" w:hAnsi="Arial" w:cs="Arial"/>
                <w:b/>
                <w:bCs/>
                <w:color w:val="FF0000"/>
              </w:rPr>
            </w:pPr>
            <w:r w:rsidRPr="0039755F">
              <w:rPr>
                <w:rFonts w:ascii="Arial" w:hAnsi="Arial" w:cs="Arial"/>
                <w:b/>
                <w:bCs/>
                <w:color w:val="000000" w:themeColor="text1"/>
              </w:rPr>
              <w:t>Variazione del PIL reale (%)</w:t>
            </w:r>
          </w:p>
        </w:tc>
        <w:tc>
          <w:tcPr>
            <w:tcW w:w="1134" w:type="dxa"/>
            <w:tcBorders>
              <w:top w:val="single" w:sz="6" w:space="0" w:color="E5EFF8"/>
              <w:left w:val="single" w:sz="6" w:space="0" w:color="E5EFF8"/>
              <w:bottom w:val="single" w:sz="6" w:space="0" w:color="E5EFF8"/>
              <w:right w:val="single" w:sz="6" w:space="0" w:color="E5EFF8"/>
            </w:tcBorders>
            <w:shd w:val="clear" w:color="auto" w:fill="F4F4F4"/>
            <w:tcMar>
              <w:top w:w="30" w:type="dxa"/>
              <w:left w:w="75" w:type="dxa"/>
              <w:bottom w:w="30" w:type="dxa"/>
              <w:right w:w="75" w:type="dxa"/>
            </w:tcMar>
            <w:hideMark/>
          </w:tcPr>
          <w:p w:rsidR="00B0060D" w:rsidRPr="0039755F" w:rsidRDefault="00B0060D" w:rsidP="00AB1230">
            <w:pPr>
              <w:jc w:val="right"/>
              <w:rPr>
                <w:rFonts w:ascii="Arial" w:hAnsi="Arial" w:cs="Arial"/>
                <w:color w:val="000000" w:themeColor="text1"/>
              </w:rPr>
            </w:pPr>
            <w:r>
              <w:rPr>
                <w:rFonts w:ascii="Arial" w:hAnsi="Arial" w:cs="Arial"/>
                <w:color w:val="000000" w:themeColor="text1"/>
              </w:rPr>
              <w:t>3,8</w:t>
            </w:r>
          </w:p>
        </w:tc>
        <w:tc>
          <w:tcPr>
            <w:tcW w:w="992" w:type="dxa"/>
            <w:tcBorders>
              <w:top w:val="single" w:sz="6" w:space="0" w:color="E5EFF8"/>
              <w:left w:val="single" w:sz="6" w:space="0" w:color="E5EFF8"/>
              <w:bottom w:val="single" w:sz="6" w:space="0" w:color="E5EFF8"/>
              <w:right w:val="single" w:sz="6" w:space="0" w:color="E5EFF8"/>
            </w:tcBorders>
            <w:shd w:val="clear" w:color="auto" w:fill="F4F4F4"/>
            <w:tcMar>
              <w:top w:w="30" w:type="dxa"/>
              <w:left w:w="75" w:type="dxa"/>
              <w:bottom w:w="30" w:type="dxa"/>
              <w:right w:w="75" w:type="dxa"/>
            </w:tcMar>
            <w:hideMark/>
          </w:tcPr>
          <w:p w:rsidR="00B0060D" w:rsidRPr="0039755F" w:rsidRDefault="00B0060D" w:rsidP="00AB1230">
            <w:pPr>
              <w:jc w:val="right"/>
              <w:rPr>
                <w:rFonts w:ascii="Arial" w:hAnsi="Arial" w:cs="Arial"/>
                <w:color w:val="000000" w:themeColor="text1"/>
              </w:rPr>
            </w:pPr>
            <w:r w:rsidRPr="0039755F">
              <w:rPr>
                <w:rFonts w:ascii="Arial" w:hAnsi="Arial" w:cs="Arial"/>
                <w:color w:val="000000" w:themeColor="text1"/>
              </w:rPr>
              <w:t>3,</w:t>
            </w:r>
            <w:r>
              <w:rPr>
                <w:rFonts w:ascii="Arial" w:hAnsi="Arial" w:cs="Arial"/>
                <w:color w:val="000000" w:themeColor="text1"/>
              </w:rPr>
              <w:t>7</w:t>
            </w:r>
          </w:p>
        </w:tc>
        <w:tc>
          <w:tcPr>
            <w:tcW w:w="992" w:type="dxa"/>
            <w:tcBorders>
              <w:top w:val="single" w:sz="6" w:space="0" w:color="E5EFF8"/>
              <w:left w:val="single" w:sz="6" w:space="0" w:color="E5EFF8"/>
              <w:bottom w:val="single" w:sz="6" w:space="0" w:color="E5EFF8"/>
              <w:right w:val="single" w:sz="6" w:space="0" w:color="E5EFF8"/>
            </w:tcBorders>
            <w:shd w:val="clear" w:color="auto" w:fill="F4F4F4"/>
            <w:tcMar>
              <w:top w:w="30" w:type="dxa"/>
              <w:left w:w="75" w:type="dxa"/>
              <w:bottom w:w="30" w:type="dxa"/>
              <w:right w:w="75" w:type="dxa"/>
            </w:tcMar>
            <w:hideMark/>
          </w:tcPr>
          <w:p w:rsidR="00B0060D" w:rsidRPr="0039755F" w:rsidRDefault="00B0060D" w:rsidP="00AB1230">
            <w:pPr>
              <w:jc w:val="right"/>
              <w:rPr>
                <w:rFonts w:ascii="Arial" w:hAnsi="Arial" w:cs="Arial"/>
                <w:color w:val="000000" w:themeColor="text1"/>
              </w:rPr>
            </w:pPr>
            <w:r w:rsidRPr="0039755F">
              <w:rPr>
                <w:rFonts w:ascii="Arial" w:hAnsi="Arial" w:cs="Arial"/>
                <w:color w:val="000000" w:themeColor="text1"/>
              </w:rPr>
              <w:t>3,</w:t>
            </w:r>
            <w:r>
              <w:rPr>
                <w:rFonts w:ascii="Arial" w:hAnsi="Arial" w:cs="Arial"/>
                <w:color w:val="000000" w:themeColor="text1"/>
              </w:rPr>
              <w:t>3</w:t>
            </w:r>
          </w:p>
        </w:tc>
        <w:tc>
          <w:tcPr>
            <w:tcW w:w="993" w:type="dxa"/>
            <w:tcBorders>
              <w:top w:val="single" w:sz="6" w:space="0" w:color="E5EFF8"/>
              <w:left w:val="single" w:sz="6" w:space="0" w:color="E5EFF8"/>
              <w:bottom w:val="single" w:sz="6" w:space="0" w:color="E5EFF8"/>
              <w:right w:val="single" w:sz="6" w:space="0" w:color="E5EFF8"/>
            </w:tcBorders>
            <w:shd w:val="clear" w:color="auto" w:fill="F4F4F4"/>
            <w:tcMar>
              <w:top w:w="30" w:type="dxa"/>
              <w:left w:w="75" w:type="dxa"/>
              <w:bottom w:w="30" w:type="dxa"/>
              <w:right w:w="75" w:type="dxa"/>
            </w:tcMar>
            <w:hideMark/>
          </w:tcPr>
          <w:p w:rsidR="00B0060D" w:rsidRPr="0039755F" w:rsidRDefault="00B0060D" w:rsidP="00AB1230">
            <w:pPr>
              <w:jc w:val="right"/>
              <w:rPr>
                <w:rFonts w:ascii="Arial" w:hAnsi="Arial" w:cs="Arial"/>
                <w:color w:val="000000" w:themeColor="text1"/>
              </w:rPr>
            </w:pPr>
            <w:r>
              <w:rPr>
                <w:rFonts w:ascii="Arial" w:hAnsi="Arial" w:cs="Arial"/>
                <w:color w:val="000000" w:themeColor="text1"/>
              </w:rPr>
              <w:t>2,2</w:t>
            </w:r>
          </w:p>
        </w:tc>
        <w:tc>
          <w:tcPr>
            <w:tcW w:w="993" w:type="dxa"/>
            <w:tcBorders>
              <w:top w:val="single" w:sz="6" w:space="0" w:color="E5EFF8"/>
              <w:left w:val="single" w:sz="6" w:space="0" w:color="E5EFF8"/>
              <w:bottom w:val="single" w:sz="6" w:space="0" w:color="E5EFF8"/>
              <w:right w:val="single" w:sz="6" w:space="0" w:color="E5EFF8"/>
            </w:tcBorders>
            <w:shd w:val="clear" w:color="auto" w:fill="F4F4F4"/>
          </w:tcPr>
          <w:p w:rsidR="00B0060D" w:rsidRDefault="00B0060D" w:rsidP="00AB1230">
            <w:pPr>
              <w:jc w:val="right"/>
              <w:rPr>
                <w:rFonts w:ascii="Arial" w:hAnsi="Arial" w:cs="Arial"/>
                <w:color w:val="000000" w:themeColor="text1"/>
              </w:rPr>
            </w:pPr>
            <w:r>
              <w:rPr>
                <w:rFonts w:ascii="Arial" w:hAnsi="Arial" w:cs="Arial"/>
                <w:color w:val="000000" w:themeColor="text1"/>
              </w:rPr>
              <w:t>-0,5</w:t>
            </w:r>
          </w:p>
        </w:tc>
      </w:tr>
      <w:tr w:rsidR="00B0060D" w:rsidRPr="0081216E" w:rsidTr="00B0060D">
        <w:tc>
          <w:tcPr>
            <w:tcW w:w="3903" w:type="dxa"/>
            <w:tcBorders>
              <w:top w:val="single" w:sz="6" w:space="0" w:color="E5EFF8"/>
              <w:left w:val="single" w:sz="6" w:space="0" w:color="E5EFF8"/>
              <w:bottom w:val="single" w:sz="6" w:space="0" w:color="E5EFF8"/>
              <w:right w:val="single" w:sz="6" w:space="0" w:color="E5EFF8"/>
            </w:tcBorders>
            <w:shd w:val="clear" w:color="auto" w:fill="F9FCFE"/>
            <w:tcMar>
              <w:top w:w="30" w:type="dxa"/>
              <w:left w:w="75" w:type="dxa"/>
              <w:bottom w:w="30" w:type="dxa"/>
              <w:right w:w="75" w:type="dxa"/>
            </w:tcMar>
            <w:hideMark/>
          </w:tcPr>
          <w:p w:rsidR="00B0060D" w:rsidRPr="0039755F" w:rsidRDefault="00B0060D" w:rsidP="00AB1230">
            <w:pPr>
              <w:rPr>
                <w:rFonts w:ascii="Arial" w:hAnsi="Arial" w:cs="Arial"/>
                <w:b/>
                <w:bCs/>
                <w:color w:val="000000" w:themeColor="text1"/>
              </w:rPr>
            </w:pPr>
            <w:r w:rsidRPr="0039755F">
              <w:rPr>
                <w:rFonts w:ascii="Arial" w:hAnsi="Arial" w:cs="Arial"/>
                <w:b/>
                <w:bCs/>
                <w:color w:val="000000" w:themeColor="text1"/>
              </w:rPr>
              <w:t>Popolazione (mln)</w:t>
            </w:r>
          </w:p>
        </w:tc>
        <w:tc>
          <w:tcPr>
            <w:tcW w:w="1134" w:type="dxa"/>
            <w:tcBorders>
              <w:top w:val="single" w:sz="6" w:space="0" w:color="E5EFF8"/>
              <w:left w:val="single" w:sz="6" w:space="0" w:color="E5EFF8"/>
              <w:bottom w:val="single" w:sz="6" w:space="0" w:color="E5EFF8"/>
              <w:right w:val="single" w:sz="6" w:space="0" w:color="E5EFF8"/>
            </w:tcBorders>
            <w:shd w:val="clear" w:color="auto" w:fill="F4F4F4"/>
            <w:tcMar>
              <w:top w:w="30" w:type="dxa"/>
              <w:left w:w="75" w:type="dxa"/>
              <w:bottom w:w="30" w:type="dxa"/>
              <w:right w:w="75" w:type="dxa"/>
            </w:tcMar>
            <w:hideMark/>
          </w:tcPr>
          <w:p w:rsidR="00B0060D" w:rsidRPr="0039755F" w:rsidRDefault="00B0060D" w:rsidP="00AB1230">
            <w:pPr>
              <w:jc w:val="right"/>
              <w:rPr>
                <w:rFonts w:ascii="Arial" w:hAnsi="Arial" w:cs="Arial"/>
                <w:color w:val="000000" w:themeColor="text1"/>
              </w:rPr>
            </w:pPr>
            <w:r w:rsidRPr="0039755F">
              <w:rPr>
                <w:rFonts w:ascii="Arial" w:hAnsi="Arial" w:cs="Arial"/>
                <w:color w:val="000000" w:themeColor="text1"/>
              </w:rPr>
              <w:t>27,8</w:t>
            </w:r>
          </w:p>
        </w:tc>
        <w:tc>
          <w:tcPr>
            <w:tcW w:w="992" w:type="dxa"/>
            <w:tcBorders>
              <w:top w:val="single" w:sz="6" w:space="0" w:color="E5EFF8"/>
              <w:left w:val="single" w:sz="6" w:space="0" w:color="E5EFF8"/>
              <w:bottom w:val="single" w:sz="6" w:space="0" w:color="E5EFF8"/>
              <w:right w:val="single" w:sz="6" w:space="0" w:color="E5EFF8"/>
            </w:tcBorders>
            <w:shd w:val="clear" w:color="auto" w:fill="F4F4F4"/>
            <w:tcMar>
              <w:top w:w="30" w:type="dxa"/>
              <w:left w:w="75" w:type="dxa"/>
              <w:bottom w:w="30" w:type="dxa"/>
              <w:right w:w="75" w:type="dxa"/>
            </w:tcMar>
            <w:hideMark/>
          </w:tcPr>
          <w:p w:rsidR="00B0060D" w:rsidRPr="0039755F" w:rsidRDefault="00B0060D" w:rsidP="00AB1230">
            <w:pPr>
              <w:jc w:val="right"/>
              <w:rPr>
                <w:rFonts w:ascii="Arial" w:hAnsi="Arial" w:cs="Arial"/>
                <w:color w:val="000000" w:themeColor="text1"/>
              </w:rPr>
            </w:pPr>
            <w:r w:rsidRPr="0039755F">
              <w:rPr>
                <w:rFonts w:ascii="Arial" w:hAnsi="Arial" w:cs="Arial"/>
                <w:color w:val="000000" w:themeColor="text1"/>
              </w:rPr>
              <w:t>28,6</w:t>
            </w:r>
          </w:p>
        </w:tc>
        <w:tc>
          <w:tcPr>
            <w:tcW w:w="992" w:type="dxa"/>
            <w:tcBorders>
              <w:top w:val="single" w:sz="6" w:space="0" w:color="E5EFF8"/>
              <w:left w:val="single" w:sz="6" w:space="0" w:color="E5EFF8"/>
              <w:bottom w:val="single" w:sz="6" w:space="0" w:color="E5EFF8"/>
              <w:right w:val="single" w:sz="6" w:space="0" w:color="E5EFF8"/>
            </w:tcBorders>
            <w:shd w:val="clear" w:color="auto" w:fill="F4F4F4"/>
            <w:tcMar>
              <w:top w:w="30" w:type="dxa"/>
              <w:left w:w="75" w:type="dxa"/>
              <w:bottom w:w="30" w:type="dxa"/>
              <w:right w:w="75" w:type="dxa"/>
            </w:tcMar>
            <w:hideMark/>
          </w:tcPr>
          <w:p w:rsidR="00B0060D" w:rsidRPr="0039755F" w:rsidRDefault="00B0060D" w:rsidP="00AB1230">
            <w:pPr>
              <w:jc w:val="right"/>
              <w:rPr>
                <w:rFonts w:ascii="Arial" w:hAnsi="Arial" w:cs="Arial"/>
                <w:color w:val="000000" w:themeColor="text1"/>
              </w:rPr>
            </w:pPr>
            <w:r w:rsidRPr="0039755F">
              <w:rPr>
                <w:rFonts w:ascii="Arial" w:hAnsi="Arial" w:cs="Arial"/>
                <w:color w:val="000000" w:themeColor="text1"/>
              </w:rPr>
              <w:t>29,5</w:t>
            </w:r>
          </w:p>
        </w:tc>
        <w:tc>
          <w:tcPr>
            <w:tcW w:w="993" w:type="dxa"/>
            <w:tcBorders>
              <w:top w:val="single" w:sz="6" w:space="0" w:color="E5EFF8"/>
              <w:left w:val="single" w:sz="6" w:space="0" w:color="E5EFF8"/>
              <w:bottom w:val="single" w:sz="6" w:space="0" w:color="E5EFF8"/>
              <w:right w:val="single" w:sz="6" w:space="0" w:color="E5EFF8"/>
            </w:tcBorders>
            <w:shd w:val="clear" w:color="auto" w:fill="F4F4F4"/>
            <w:tcMar>
              <w:top w:w="30" w:type="dxa"/>
              <w:left w:w="75" w:type="dxa"/>
              <w:bottom w:w="30" w:type="dxa"/>
              <w:right w:w="75" w:type="dxa"/>
            </w:tcMar>
            <w:hideMark/>
          </w:tcPr>
          <w:p w:rsidR="00B0060D" w:rsidRPr="0039755F" w:rsidRDefault="00B0060D" w:rsidP="00AB1230">
            <w:pPr>
              <w:jc w:val="right"/>
              <w:rPr>
                <w:rFonts w:ascii="Arial" w:hAnsi="Arial" w:cs="Arial"/>
                <w:color w:val="000000" w:themeColor="text1"/>
              </w:rPr>
            </w:pPr>
            <w:r w:rsidRPr="0039755F">
              <w:rPr>
                <w:rFonts w:ascii="Arial" w:hAnsi="Arial" w:cs="Arial"/>
                <w:color w:val="000000" w:themeColor="text1"/>
              </w:rPr>
              <w:t>30,</w:t>
            </w:r>
            <w:r>
              <w:rPr>
                <w:rFonts w:ascii="Arial" w:hAnsi="Arial" w:cs="Arial"/>
                <w:color w:val="000000" w:themeColor="text1"/>
              </w:rPr>
              <w:t>0</w:t>
            </w:r>
          </w:p>
        </w:tc>
        <w:tc>
          <w:tcPr>
            <w:tcW w:w="993" w:type="dxa"/>
            <w:tcBorders>
              <w:top w:val="single" w:sz="6" w:space="0" w:color="E5EFF8"/>
              <w:left w:val="single" w:sz="6" w:space="0" w:color="E5EFF8"/>
              <w:bottom w:val="single" w:sz="6" w:space="0" w:color="E5EFF8"/>
              <w:right w:val="single" w:sz="6" w:space="0" w:color="E5EFF8"/>
            </w:tcBorders>
            <w:shd w:val="clear" w:color="auto" w:fill="F4F4F4"/>
          </w:tcPr>
          <w:p w:rsidR="00B0060D" w:rsidRPr="0039755F" w:rsidRDefault="00B0060D" w:rsidP="00AB1230">
            <w:pPr>
              <w:jc w:val="right"/>
              <w:rPr>
                <w:rFonts w:ascii="Arial" w:hAnsi="Arial" w:cs="Arial"/>
                <w:color w:val="000000" w:themeColor="text1"/>
              </w:rPr>
            </w:pPr>
            <w:r>
              <w:rPr>
                <w:rFonts w:ascii="Arial" w:hAnsi="Arial" w:cs="Arial"/>
                <w:color w:val="000000" w:themeColor="text1"/>
              </w:rPr>
              <w:t>30,4</w:t>
            </w:r>
          </w:p>
        </w:tc>
      </w:tr>
      <w:tr w:rsidR="00B0060D" w:rsidRPr="0081216E" w:rsidTr="00B0060D">
        <w:tc>
          <w:tcPr>
            <w:tcW w:w="3903" w:type="dxa"/>
            <w:tcBorders>
              <w:top w:val="single" w:sz="6" w:space="0" w:color="E5EFF8"/>
              <w:left w:val="single" w:sz="6" w:space="0" w:color="E5EFF8"/>
              <w:bottom w:val="single" w:sz="6" w:space="0" w:color="E5EFF8"/>
              <w:right w:val="single" w:sz="6" w:space="0" w:color="E5EFF8"/>
            </w:tcBorders>
            <w:shd w:val="clear" w:color="auto" w:fill="F9FCFE"/>
            <w:tcMar>
              <w:top w:w="30" w:type="dxa"/>
              <w:left w:w="75" w:type="dxa"/>
              <w:bottom w:w="30" w:type="dxa"/>
              <w:right w:w="75" w:type="dxa"/>
            </w:tcMar>
            <w:hideMark/>
          </w:tcPr>
          <w:p w:rsidR="00B0060D" w:rsidRPr="0039755F" w:rsidRDefault="00B0060D" w:rsidP="00AB1230">
            <w:pPr>
              <w:rPr>
                <w:rFonts w:ascii="Arial" w:hAnsi="Arial" w:cs="Arial"/>
                <w:b/>
                <w:bCs/>
                <w:color w:val="000000" w:themeColor="text1"/>
              </w:rPr>
            </w:pPr>
            <w:r w:rsidRPr="0039755F">
              <w:rPr>
                <w:rFonts w:ascii="Arial" w:hAnsi="Arial" w:cs="Arial"/>
                <w:b/>
                <w:bCs/>
                <w:color w:val="000000" w:themeColor="text1"/>
              </w:rPr>
              <w:t>PIL pro-capite a parita di potere d'acquisto ( $)</w:t>
            </w:r>
          </w:p>
        </w:tc>
        <w:tc>
          <w:tcPr>
            <w:tcW w:w="1134" w:type="dxa"/>
            <w:tcBorders>
              <w:top w:val="single" w:sz="6" w:space="0" w:color="E5EFF8"/>
              <w:left w:val="single" w:sz="6" w:space="0" w:color="E5EFF8"/>
              <w:bottom w:val="single" w:sz="6" w:space="0" w:color="E5EFF8"/>
              <w:right w:val="single" w:sz="6" w:space="0" w:color="E5EFF8"/>
            </w:tcBorders>
            <w:shd w:val="clear" w:color="auto" w:fill="F4F4F4"/>
            <w:tcMar>
              <w:top w:w="30" w:type="dxa"/>
              <w:left w:w="75" w:type="dxa"/>
              <w:bottom w:w="30" w:type="dxa"/>
              <w:right w:w="75" w:type="dxa"/>
            </w:tcMar>
            <w:hideMark/>
          </w:tcPr>
          <w:p w:rsidR="00B0060D" w:rsidRPr="0039755F" w:rsidRDefault="00B0060D" w:rsidP="00AB1230">
            <w:pPr>
              <w:jc w:val="right"/>
              <w:rPr>
                <w:rFonts w:ascii="Arial" w:hAnsi="Arial" w:cs="Arial"/>
                <w:color w:val="000000" w:themeColor="text1"/>
              </w:rPr>
            </w:pPr>
            <w:r w:rsidRPr="0039755F">
              <w:rPr>
                <w:rFonts w:ascii="Arial" w:hAnsi="Arial" w:cs="Arial"/>
                <w:color w:val="000000" w:themeColor="text1"/>
              </w:rPr>
              <w:t>1.258</w:t>
            </w:r>
          </w:p>
        </w:tc>
        <w:tc>
          <w:tcPr>
            <w:tcW w:w="992" w:type="dxa"/>
            <w:tcBorders>
              <w:top w:val="single" w:sz="6" w:space="0" w:color="E5EFF8"/>
              <w:left w:val="single" w:sz="6" w:space="0" w:color="E5EFF8"/>
              <w:bottom w:val="single" w:sz="6" w:space="0" w:color="E5EFF8"/>
              <w:right w:val="single" w:sz="6" w:space="0" w:color="E5EFF8"/>
            </w:tcBorders>
            <w:shd w:val="clear" w:color="auto" w:fill="F4F4F4"/>
            <w:tcMar>
              <w:top w:w="30" w:type="dxa"/>
              <w:left w:w="75" w:type="dxa"/>
              <w:bottom w:w="30" w:type="dxa"/>
              <w:right w:w="75" w:type="dxa"/>
            </w:tcMar>
            <w:hideMark/>
          </w:tcPr>
          <w:p w:rsidR="00B0060D" w:rsidRPr="0039755F" w:rsidRDefault="00B0060D" w:rsidP="00AB1230">
            <w:pPr>
              <w:jc w:val="right"/>
              <w:rPr>
                <w:rFonts w:ascii="Arial" w:hAnsi="Arial" w:cs="Arial"/>
                <w:color w:val="000000" w:themeColor="text1"/>
              </w:rPr>
            </w:pPr>
            <w:r w:rsidRPr="0039755F">
              <w:rPr>
                <w:rFonts w:ascii="Arial" w:hAnsi="Arial" w:cs="Arial"/>
                <w:color w:val="000000" w:themeColor="text1"/>
              </w:rPr>
              <w:t>1.292</w:t>
            </w:r>
          </w:p>
        </w:tc>
        <w:tc>
          <w:tcPr>
            <w:tcW w:w="992" w:type="dxa"/>
            <w:tcBorders>
              <w:top w:val="single" w:sz="6" w:space="0" w:color="E5EFF8"/>
              <w:left w:val="single" w:sz="6" w:space="0" w:color="E5EFF8"/>
              <w:bottom w:val="single" w:sz="6" w:space="0" w:color="E5EFF8"/>
              <w:right w:val="single" w:sz="6" w:space="0" w:color="E5EFF8"/>
            </w:tcBorders>
            <w:shd w:val="clear" w:color="auto" w:fill="F4F4F4"/>
            <w:tcMar>
              <w:top w:w="30" w:type="dxa"/>
              <w:left w:w="75" w:type="dxa"/>
              <w:bottom w:w="30" w:type="dxa"/>
              <w:right w:w="75" w:type="dxa"/>
            </w:tcMar>
            <w:hideMark/>
          </w:tcPr>
          <w:p w:rsidR="00B0060D" w:rsidRPr="0039755F" w:rsidRDefault="00B0060D" w:rsidP="00AB1230">
            <w:pPr>
              <w:jc w:val="right"/>
              <w:rPr>
                <w:rFonts w:ascii="Arial" w:hAnsi="Arial" w:cs="Arial"/>
                <w:color w:val="000000" w:themeColor="text1"/>
              </w:rPr>
            </w:pPr>
            <w:r w:rsidRPr="0039755F">
              <w:rPr>
                <w:rFonts w:ascii="Arial" w:hAnsi="Arial" w:cs="Arial"/>
                <w:color w:val="000000" w:themeColor="text1"/>
              </w:rPr>
              <w:t>1.329</w:t>
            </w:r>
          </w:p>
        </w:tc>
        <w:tc>
          <w:tcPr>
            <w:tcW w:w="993" w:type="dxa"/>
            <w:tcBorders>
              <w:top w:val="single" w:sz="6" w:space="0" w:color="E5EFF8"/>
              <w:left w:val="single" w:sz="6" w:space="0" w:color="E5EFF8"/>
              <w:bottom w:val="single" w:sz="6" w:space="0" w:color="E5EFF8"/>
              <w:right w:val="single" w:sz="6" w:space="0" w:color="E5EFF8"/>
            </w:tcBorders>
            <w:shd w:val="clear" w:color="auto" w:fill="F4F4F4"/>
            <w:tcMar>
              <w:top w:w="30" w:type="dxa"/>
              <w:left w:w="75" w:type="dxa"/>
              <w:bottom w:w="30" w:type="dxa"/>
              <w:right w:w="75" w:type="dxa"/>
            </w:tcMar>
            <w:hideMark/>
          </w:tcPr>
          <w:p w:rsidR="00B0060D" w:rsidRPr="0039755F" w:rsidRDefault="00B0060D" w:rsidP="00AB1230">
            <w:pPr>
              <w:jc w:val="right"/>
              <w:rPr>
                <w:rFonts w:ascii="Arial" w:hAnsi="Arial" w:cs="Arial"/>
                <w:color w:val="000000" w:themeColor="text1"/>
              </w:rPr>
            </w:pPr>
            <w:r w:rsidRPr="0039755F">
              <w:rPr>
                <w:rFonts w:ascii="Arial" w:hAnsi="Arial" w:cs="Arial"/>
                <w:color w:val="000000" w:themeColor="text1"/>
              </w:rPr>
              <w:t>1.346</w:t>
            </w:r>
          </w:p>
        </w:tc>
        <w:tc>
          <w:tcPr>
            <w:tcW w:w="993" w:type="dxa"/>
            <w:tcBorders>
              <w:top w:val="single" w:sz="6" w:space="0" w:color="E5EFF8"/>
              <w:left w:val="single" w:sz="6" w:space="0" w:color="E5EFF8"/>
              <w:bottom w:val="single" w:sz="6" w:space="0" w:color="E5EFF8"/>
              <w:right w:val="single" w:sz="6" w:space="0" w:color="E5EFF8"/>
            </w:tcBorders>
            <w:shd w:val="clear" w:color="auto" w:fill="F4F4F4"/>
          </w:tcPr>
          <w:p w:rsidR="00B0060D" w:rsidRPr="0039755F" w:rsidRDefault="00B0060D" w:rsidP="00AB1230">
            <w:pPr>
              <w:jc w:val="right"/>
              <w:rPr>
                <w:rFonts w:ascii="Arial" w:hAnsi="Arial" w:cs="Arial"/>
                <w:color w:val="000000" w:themeColor="text1"/>
              </w:rPr>
            </w:pPr>
            <w:r>
              <w:rPr>
                <w:rFonts w:ascii="Arial" w:hAnsi="Arial" w:cs="Arial"/>
                <w:color w:val="000000" w:themeColor="text1"/>
              </w:rPr>
              <w:t>n.d.</w:t>
            </w:r>
          </w:p>
        </w:tc>
      </w:tr>
      <w:tr w:rsidR="00B0060D" w:rsidRPr="0081216E" w:rsidTr="00B0060D">
        <w:tc>
          <w:tcPr>
            <w:tcW w:w="3903" w:type="dxa"/>
            <w:tcBorders>
              <w:top w:val="single" w:sz="6" w:space="0" w:color="E5EFF8"/>
              <w:left w:val="single" w:sz="6" w:space="0" w:color="E5EFF8"/>
              <w:bottom w:val="single" w:sz="6" w:space="0" w:color="E5EFF8"/>
              <w:right w:val="single" w:sz="6" w:space="0" w:color="E5EFF8"/>
            </w:tcBorders>
            <w:shd w:val="clear" w:color="auto" w:fill="F9FCFE"/>
            <w:tcMar>
              <w:top w:w="30" w:type="dxa"/>
              <w:left w:w="75" w:type="dxa"/>
              <w:bottom w:w="30" w:type="dxa"/>
              <w:right w:w="75" w:type="dxa"/>
            </w:tcMar>
            <w:hideMark/>
          </w:tcPr>
          <w:p w:rsidR="00B0060D" w:rsidRPr="003C02EF" w:rsidRDefault="00B0060D" w:rsidP="00AB1230">
            <w:pPr>
              <w:rPr>
                <w:rFonts w:ascii="Arial" w:hAnsi="Arial" w:cs="Arial"/>
                <w:b/>
                <w:bCs/>
                <w:color w:val="000000" w:themeColor="text1"/>
              </w:rPr>
            </w:pPr>
            <w:r w:rsidRPr="003C02EF">
              <w:rPr>
                <w:rFonts w:ascii="Arial" w:hAnsi="Arial" w:cs="Arial"/>
                <w:b/>
                <w:bCs/>
                <w:color w:val="000000" w:themeColor="text1"/>
              </w:rPr>
              <w:t>Disoccupazione (%)</w:t>
            </w:r>
          </w:p>
        </w:tc>
        <w:tc>
          <w:tcPr>
            <w:tcW w:w="1134" w:type="dxa"/>
            <w:tcBorders>
              <w:top w:val="single" w:sz="6" w:space="0" w:color="E5EFF8"/>
              <w:left w:val="single" w:sz="6" w:space="0" w:color="E5EFF8"/>
              <w:bottom w:val="single" w:sz="6" w:space="0" w:color="E5EFF8"/>
              <w:right w:val="single" w:sz="6" w:space="0" w:color="E5EFF8"/>
            </w:tcBorders>
            <w:shd w:val="clear" w:color="auto" w:fill="F4F4F4"/>
            <w:tcMar>
              <w:top w:w="30" w:type="dxa"/>
              <w:left w:w="75" w:type="dxa"/>
              <w:bottom w:w="30" w:type="dxa"/>
              <w:right w:w="75" w:type="dxa"/>
            </w:tcMar>
            <w:hideMark/>
          </w:tcPr>
          <w:p w:rsidR="00B0060D" w:rsidRPr="003C02EF" w:rsidRDefault="00B0060D" w:rsidP="00AB1230">
            <w:pPr>
              <w:jc w:val="right"/>
              <w:rPr>
                <w:rFonts w:ascii="Arial" w:hAnsi="Arial" w:cs="Arial"/>
                <w:color w:val="000000" w:themeColor="text1"/>
              </w:rPr>
            </w:pPr>
            <w:r w:rsidRPr="003C02EF">
              <w:rPr>
                <w:rFonts w:ascii="Arial" w:hAnsi="Arial" w:cs="Arial"/>
                <w:color w:val="000000" w:themeColor="text1"/>
              </w:rPr>
              <w:t>24,4</w:t>
            </w:r>
          </w:p>
        </w:tc>
        <w:tc>
          <w:tcPr>
            <w:tcW w:w="992" w:type="dxa"/>
            <w:tcBorders>
              <w:top w:val="single" w:sz="6" w:space="0" w:color="E5EFF8"/>
              <w:left w:val="single" w:sz="6" w:space="0" w:color="E5EFF8"/>
              <w:bottom w:val="single" w:sz="6" w:space="0" w:color="E5EFF8"/>
              <w:right w:val="single" w:sz="6" w:space="0" w:color="E5EFF8"/>
            </w:tcBorders>
            <w:shd w:val="clear" w:color="auto" w:fill="F4F4F4"/>
            <w:tcMar>
              <w:top w:w="30" w:type="dxa"/>
              <w:left w:w="75" w:type="dxa"/>
              <w:bottom w:w="30" w:type="dxa"/>
              <w:right w:w="75" w:type="dxa"/>
            </w:tcMar>
            <w:hideMark/>
          </w:tcPr>
          <w:p w:rsidR="00B0060D" w:rsidRPr="003C02EF" w:rsidRDefault="00B0060D" w:rsidP="00AB1230">
            <w:pPr>
              <w:jc w:val="right"/>
              <w:rPr>
                <w:rFonts w:ascii="Arial" w:hAnsi="Arial" w:cs="Arial"/>
                <w:color w:val="000000" w:themeColor="text1"/>
              </w:rPr>
            </w:pPr>
            <w:r w:rsidRPr="003C02EF">
              <w:rPr>
                <w:rFonts w:ascii="Arial" w:hAnsi="Arial" w:cs="Arial"/>
                <w:color w:val="000000" w:themeColor="text1"/>
              </w:rPr>
              <w:t>24,5</w:t>
            </w:r>
          </w:p>
        </w:tc>
        <w:tc>
          <w:tcPr>
            <w:tcW w:w="992" w:type="dxa"/>
            <w:tcBorders>
              <w:top w:val="single" w:sz="6" w:space="0" w:color="E5EFF8"/>
              <w:left w:val="single" w:sz="6" w:space="0" w:color="E5EFF8"/>
              <w:bottom w:val="single" w:sz="6" w:space="0" w:color="E5EFF8"/>
              <w:right w:val="single" w:sz="6" w:space="0" w:color="E5EFF8"/>
            </w:tcBorders>
            <w:shd w:val="clear" w:color="auto" w:fill="F4F4F4"/>
            <w:tcMar>
              <w:top w:w="30" w:type="dxa"/>
              <w:left w:w="75" w:type="dxa"/>
              <w:bottom w:w="30" w:type="dxa"/>
              <w:right w:w="75" w:type="dxa"/>
            </w:tcMar>
            <w:hideMark/>
          </w:tcPr>
          <w:p w:rsidR="00B0060D" w:rsidRPr="003C02EF" w:rsidRDefault="00B0060D" w:rsidP="00AB1230">
            <w:pPr>
              <w:jc w:val="right"/>
              <w:rPr>
                <w:rFonts w:ascii="Arial" w:hAnsi="Arial" w:cs="Arial"/>
                <w:color w:val="000000" w:themeColor="text1"/>
              </w:rPr>
            </w:pPr>
            <w:r w:rsidRPr="003C02EF">
              <w:rPr>
                <w:rFonts w:ascii="Arial" w:hAnsi="Arial" w:cs="Arial"/>
                <w:color w:val="000000" w:themeColor="text1"/>
              </w:rPr>
              <w:t>24,9</w:t>
            </w:r>
          </w:p>
        </w:tc>
        <w:tc>
          <w:tcPr>
            <w:tcW w:w="993" w:type="dxa"/>
            <w:tcBorders>
              <w:top w:val="single" w:sz="6" w:space="0" w:color="E5EFF8"/>
              <w:left w:val="single" w:sz="6" w:space="0" w:color="E5EFF8"/>
              <w:bottom w:val="single" w:sz="6" w:space="0" w:color="E5EFF8"/>
              <w:right w:val="single" w:sz="6" w:space="0" w:color="E5EFF8"/>
            </w:tcBorders>
            <w:shd w:val="clear" w:color="auto" w:fill="F4F4F4"/>
            <w:tcMar>
              <w:top w:w="30" w:type="dxa"/>
              <w:left w:w="75" w:type="dxa"/>
              <w:bottom w:w="30" w:type="dxa"/>
              <w:right w:w="75" w:type="dxa"/>
            </w:tcMar>
            <w:hideMark/>
          </w:tcPr>
          <w:p w:rsidR="00B0060D" w:rsidRPr="003C02EF" w:rsidRDefault="00B0060D" w:rsidP="00AB1230">
            <w:pPr>
              <w:jc w:val="right"/>
              <w:rPr>
                <w:rFonts w:ascii="Arial" w:hAnsi="Arial" w:cs="Arial"/>
                <w:color w:val="000000" w:themeColor="text1"/>
              </w:rPr>
            </w:pPr>
            <w:r>
              <w:rPr>
                <w:rFonts w:ascii="Arial" w:hAnsi="Arial" w:cs="Arial"/>
                <w:color w:val="000000" w:themeColor="text1"/>
              </w:rPr>
              <w:t>24,5</w:t>
            </w:r>
          </w:p>
        </w:tc>
        <w:tc>
          <w:tcPr>
            <w:tcW w:w="993" w:type="dxa"/>
            <w:tcBorders>
              <w:top w:val="single" w:sz="6" w:space="0" w:color="E5EFF8"/>
              <w:left w:val="single" w:sz="6" w:space="0" w:color="E5EFF8"/>
              <w:bottom w:val="single" w:sz="6" w:space="0" w:color="E5EFF8"/>
              <w:right w:val="single" w:sz="6" w:space="0" w:color="E5EFF8"/>
            </w:tcBorders>
            <w:shd w:val="clear" w:color="auto" w:fill="F4F4F4"/>
          </w:tcPr>
          <w:p w:rsidR="00B0060D" w:rsidRPr="003C02EF" w:rsidRDefault="00B0060D" w:rsidP="00AB1230">
            <w:pPr>
              <w:jc w:val="right"/>
              <w:rPr>
                <w:rFonts w:ascii="Arial" w:hAnsi="Arial" w:cs="Arial"/>
                <w:color w:val="000000" w:themeColor="text1"/>
              </w:rPr>
            </w:pPr>
            <w:r>
              <w:rPr>
                <w:rFonts w:ascii="Arial" w:hAnsi="Arial" w:cs="Arial"/>
                <w:color w:val="000000" w:themeColor="text1"/>
              </w:rPr>
              <w:t>n.d.</w:t>
            </w:r>
          </w:p>
        </w:tc>
      </w:tr>
      <w:tr w:rsidR="00B0060D" w:rsidRPr="0081216E" w:rsidTr="00B0060D">
        <w:tc>
          <w:tcPr>
            <w:tcW w:w="3903" w:type="dxa"/>
            <w:tcBorders>
              <w:top w:val="single" w:sz="6" w:space="0" w:color="E5EFF8"/>
              <w:left w:val="single" w:sz="6" w:space="0" w:color="E5EFF8"/>
              <w:bottom w:val="single" w:sz="6" w:space="0" w:color="E5EFF8"/>
              <w:right w:val="single" w:sz="6" w:space="0" w:color="E5EFF8"/>
            </w:tcBorders>
            <w:shd w:val="clear" w:color="auto" w:fill="F9FCFE"/>
            <w:tcMar>
              <w:top w:w="30" w:type="dxa"/>
              <w:left w:w="75" w:type="dxa"/>
              <w:bottom w:w="30" w:type="dxa"/>
              <w:right w:w="75" w:type="dxa"/>
            </w:tcMar>
            <w:hideMark/>
          </w:tcPr>
          <w:p w:rsidR="00B0060D" w:rsidRPr="003C02EF" w:rsidRDefault="00B0060D" w:rsidP="00AB1230">
            <w:pPr>
              <w:rPr>
                <w:rFonts w:ascii="Arial" w:hAnsi="Arial" w:cs="Arial"/>
                <w:b/>
                <w:bCs/>
                <w:color w:val="000000" w:themeColor="text1"/>
              </w:rPr>
            </w:pPr>
            <w:r w:rsidRPr="003C02EF">
              <w:rPr>
                <w:rFonts w:ascii="Arial" w:hAnsi="Arial" w:cs="Arial"/>
                <w:b/>
                <w:bCs/>
                <w:color w:val="000000" w:themeColor="text1"/>
              </w:rPr>
              <w:t>Debito pubblico (% PIL)</w:t>
            </w:r>
          </w:p>
        </w:tc>
        <w:tc>
          <w:tcPr>
            <w:tcW w:w="1134" w:type="dxa"/>
            <w:tcBorders>
              <w:top w:val="single" w:sz="6" w:space="0" w:color="E5EFF8"/>
              <w:left w:val="single" w:sz="6" w:space="0" w:color="E5EFF8"/>
              <w:bottom w:val="single" w:sz="6" w:space="0" w:color="E5EFF8"/>
              <w:right w:val="single" w:sz="6" w:space="0" w:color="E5EFF8"/>
            </w:tcBorders>
            <w:shd w:val="clear" w:color="auto" w:fill="F4F4F4"/>
            <w:tcMar>
              <w:top w:w="30" w:type="dxa"/>
              <w:left w:w="75" w:type="dxa"/>
              <w:bottom w:w="30" w:type="dxa"/>
              <w:right w:w="75" w:type="dxa"/>
            </w:tcMar>
            <w:hideMark/>
          </w:tcPr>
          <w:p w:rsidR="00B0060D" w:rsidRPr="003C02EF" w:rsidRDefault="00B0060D" w:rsidP="00AB1230">
            <w:pPr>
              <w:jc w:val="right"/>
              <w:rPr>
                <w:rFonts w:ascii="Arial" w:hAnsi="Arial" w:cs="Arial"/>
                <w:color w:val="000000" w:themeColor="text1"/>
              </w:rPr>
            </w:pPr>
            <w:r w:rsidRPr="003C02EF">
              <w:rPr>
                <w:rFonts w:ascii="Arial" w:hAnsi="Arial" w:cs="Arial"/>
                <w:color w:val="000000" w:themeColor="text1"/>
              </w:rPr>
              <w:t>128,3</w:t>
            </w:r>
          </w:p>
        </w:tc>
        <w:tc>
          <w:tcPr>
            <w:tcW w:w="992" w:type="dxa"/>
            <w:tcBorders>
              <w:top w:val="single" w:sz="6" w:space="0" w:color="E5EFF8"/>
              <w:left w:val="single" w:sz="6" w:space="0" w:color="E5EFF8"/>
              <w:bottom w:val="single" w:sz="6" w:space="0" w:color="E5EFF8"/>
              <w:right w:val="single" w:sz="6" w:space="0" w:color="E5EFF8"/>
            </w:tcBorders>
            <w:shd w:val="clear" w:color="auto" w:fill="F4F4F4"/>
            <w:tcMar>
              <w:top w:w="30" w:type="dxa"/>
              <w:left w:w="75" w:type="dxa"/>
              <w:bottom w:w="30" w:type="dxa"/>
              <w:right w:w="75" w:type="dxa"/>
            </w:tcMar>
            <w:hideMark/>
          </w:tcPr>
          <w:p w:rsidR="00B0060D" w:rsidRPr="003C02EF" w:rsidRDefault="00B0060D" w:rsidP="00AB1230">
            <w:pPr>
              <w:jc w:val="right"/>
              <w:rPr>
                <w:rFonts w:ascii="Arial" w:hAnsi="Arial" w:cs="Arial"/>
                <w:color w:val="000000" w:themeColor="text1"/>
              </w:rPr>
            </w:pPr>
            <w:r w:rsidRPr="003C02EF">
              <w:rPr>
                <w:rFonts w:ascii="Arial" w:hAnsi="Arial" w:cs="Arial"/>
                <w:color w:val="000000" w:themeColor="text1"/>
              </w:rPr>
              <w:t>111,9</w:t>
            </w:r>
          </w:p>
        </w:tc>
        <w:tc>
          <w:tcPr>
            <w:tcW w:w="992" w:type="dxa"/>
            <w:tcBorders>
              <w:top w:val="single" w:sz="6" w:space="0" w:color="E5EFF8"/>
              <w:left w:val="single" w:sz="6" w:space="0" w:color="E5EFF8"/>
              <w:bottom w:val="single" w:sz="6" w:space="0" w:color="E5EFF8"/>
              <w:right w:val="single" w:sz="6" w:space="0" w:color="E5EFF8"/>
            </w:tcBorders>
            <w:shd w:val="clear" w:color="auto" w:fill="F4F4F4"/>
            <w:tcMar>
              <w:top w:w="30" w:type="dxa"/>
              <w:left w:w="75" w:type="dxa"/>
              <w:bottom w:w="30" w:type="dxa"/>
              <w:right w:w="75" w:type="dxa"/>
            </w:tcMar>
            <w:hideMark/>
          </w:tcPr>
          <w:p w:rsidR="00B0060D" w:rsidRPr="003C02EF" w:rsidRDefault="00B0060D" w:rsidP="00AB1230">
            <w:pPr>
              <w:jc w:val="right"/>
              <w:rPr>
                <w:rFonts w:ascii="Arial" w:hAnsi="Arial" w:cs="Arial"/>
                <w:color w:val="000000" w:themeColor="text1"/>
              </w:rPr>
            </w:pPr>
            <w:r w:rsidRPr="003C02EF">
              <w:rPr>
                <w:rFonts w:ascii="Arial" w:hAnsi="Arial" w:cs="Arial"/>
                <w:color w:val="000000" w:themeColor="text1"/>
              </w:rPr>
              <w:t>110,5</w:t>
            </w:r>
          </w:p>
        </w:tc>
        <w:tc>
          <w:tcPr>
            <w:tcW w:w="993" w:type="dxa"/>
            <w:tcBorders>
              <w:top w:val="single" w:sz="6" w:space="0" w:color="E5EFF8"/>
              <w:left w:val="single" w:sz="6" w:space="0" w:color="E5EFF8"/>
              <w:bottom w:val="single" w:sz="6" w:space="0" w:color="E5EFF8"/>
              <w:right w:val="single" w:sz="6" w:space="0" w:color="E5EFF8"/>
            </w:tcBorders>
            <w:shd w:val="clear" w:color="auto" w:fill="F4F4F4"/>
            <w:tcMar>
              <w:top w:w="30" w:type="dxa"/>
              <w:left w:w="75" w:type="dxa"/>
              <w:bottom w:w="30" w:type="dxa"/>
              <w:right w:w="75" w:type="dxa"/>
            </w:tcMar>
            <w:hideMark/>
          </w:tcPr>
          <w:p w:rsidR="00B0060D" w:rsidRPr="003C02EF" w:rsidRDefault="00B0060D" w:rsidP="00AB1230">
            <w:pPr>
              <w:jc w:val="right"/>
              <w:rPr>
                <w:rFonts w:ascii="Arial" w:hAnsi="Arial" w:cs="Arial"/>
                <w:color w:val="000000" w:themeColor="text1"/>
              </w:rPr>
            </w:pPr>
            <w:r w:rsidRPr="003C02EF">
              <w:rPr>
                <w:rFonts w:ascii="Arial" w:hAnsi="Arial" w:cs="Arial"/>
                <w:color w:val="000000" w:themeColor="text1"/>
              </w:rPr>
              <w:t>108,8</w:t>
            </w:r>
          </w:p>
        </w:tc>
        <w:tc>
          <w:tcPr>
            <w:tcW w:w="993" w:type="dxa"/>
            <w:tcBorders>
              <w:top w:val="single" w:sz="6" w:space="0" w:color="E5EFF8"/>
              <w:left w:val="single" w:sz="6" w:space="0" w:color="E5EFF8"/>
              <w:bottom w:val="single" w:sz="6" w:space="0" w:color="E5EFF8"/>
              <w:right w:val="single" w:sz="6" w:space="0" w:color="E5EFF8"/>
            </w:tcBorders>
            <w:shd w:val="clear" w:color="auto" w:fill="F4F4F4"/>
          </w:tcPr>
          <w:p w:rsidR="00B0060D" w:rsidRPr="003C02EF" w:rsidRDefault="00B0060D" w:rsidP="00AB1230">
            <w:pPr>
              <w:jc w:val="right"/>
              <w:rPr>
                <w:rFonts w:ascii="Arial" w:hAnsi="Arial" w:cs="Arial"/>
                <w:color w:val="000000" w:themeColor="text1"/>
              </w:rPr>
            </w:pPr>
            <w:r>
              <w:rPr>
                <w:rFonts w:ascii="Arial" w:hAnsi="Arial" w:cs="Arial"/>
                <w:color w:val="000000" w:themeColor="text1"/>
              </w:rPr>
              <w:t>121,3</w:t>
            </w:r>
          </w:p>
        </w:tc>
      </w:tr>
      <w:tr w:rsidR="00B0060D" w:rsidRPr="0081216E" w:rsidTr="00B0060D">
        <w:tc>
          <w:tcPr>
            <w:tcW w:w="3903" w:type="dxa"/>
            <w:tcBorders>
              <w:top w:val="single" w:sz="6" w:space="0" w:color="E5EFF8"/>
              <w:left w:val="single" w:sz="6" w:space="0" w:color="E5EFF8"/>
              <w:bottom w:val="single" w:sz="6" w:space="0" w:color="E5EFF8"/>
              <w:right w:val="single" w:sz="6" w:space="0" w:color="E5EFF8"/>
            </w:tcBorders>
            <w:shd w:val="clear" w:color="auto" w:fill="F9FCFE"/>
            <w:tcMar>
              <w:top w:w="30" w:type="dxa"/>
              <w:left w:w="75" w:type="dxa"/>
              <w:bottom w:w="30" w:type="dxa"/>
              <w:right w:w="75" w:type="dxa"/>
            </w:tcMar>
            <w:hideMark/>
          </w:tcPr>
          <w:p w:rsidR="00B0060D" w:rsidRPr="003C02EF" w:rsidRDefault="00B0060D" w:rsidP="00AB1230">
            <w:pPr>
              <w:rPr>
                <w:rFonts w:ascii="Arial" w:hAnsi="Arial" w:cs="Arial"/>
                <w:b/>
                <w:bCs/>
                <w:color w:val="000000" w:themeColor="text1"/>
              </w:rPr>
            </w:pPr>
            <w:r w:rsidRPr="003C02EF">
              <w:rPr>
                <w:rFonts w:ascii="Arial" w:hAnsi="Arial" w:cs="Arial"/>
                <w:b/>
                <w:bCs/>
                <w:color w:val="000000" w:themeColor="text1"/>
              </w:rPr>
              <w:t>Inflazione (%)</w:t>
            </w:r>
          </w:p>
        </w:tc>
        <w:tc>
          <w:tcPr>
            <w:tcW w:w="1134" w:type="dxa"/>
            <w:tcBorders>
              <w:top w:val="single" w:sz="6" w:space="0" w:color="E5EFF8"/>
              <w:left w:val="single" w:sz="6" w:space="0" w:color="E5EFF8"/>
              <w:bottom w:val="single" w:sz="6" w:space="0" w:color="E5EFF8"/>
              <w:right w:val="single" w:sz="6" w:space="0" w:color="E5EFF8"/>
            </w:tcBorders>
            <w:shd w:val="clear" w:color="auto" w:fill="F4F4F4"/>
            <w:tcMar>
              <w:top w:w="30" w:type="dxa"/>
              <w:left w:w="75" w:type="dxa"/>
              <w:bottom w:w="30" w:type="dxa"/>
              <w:right w:w="75" w:type="dxa"/>
            </w:tcMar>
            <w:hideMark/>
          </w:tcPr>
          <w:p w:rsidR="00B0060D" w:rsidRPr="003C02EF" w:rsidRDefault="00B0060D" w:rsidP="00AB1230">
            <w:pPr>
              <w:jc w:val="right"/>
              <w:rPr>
                <w:rFonts w:ascii="Arial" w:hAnsi="Arial" w:cs="Arial"/>
                <w:color w:val="000000" w:themeColor="text1"/>
              </w:rPr>
            </w:pPr>
            <w:r w:rsidRPr="003C02EF">
              <w:rPr>
                <w:rFonts w:ascii="Arial" w:hAnsi="Arial" w:cs="Arial"/>
                <w:color w:val="000000" w:themeColor="text1"/>
              </w:rPr>
              <w:t>19,2</w:t>
            </w:r>
          </w:p>
        </w:tc>
        <w:tc>
          <w:tcPr>
            <w:tcW w:w="992" w:type="dxa"/>
            <w:tcBorders>
              <w:top w:val="single" w:sz="6" w:space="0" w:color="E5EFF8"/>
              <w:left w:val="single" w:sz="6" w:space="0" w:color="E5EFF8"/>
              <w:bottom w:val="single" w:sz="6" w:space="0" w:color="E5EFF8"/>
              <w:right w:val="single" w:sz="6" w:space="0" w:color="E5EFF8"/>
            </w:tcBorders>
            <w:shd w:val="clear" w:color="auto" w:fill="F4F4F4"/>
            <w:tcMar>
              <w:top w:w="30" w:type="dxa"/>
              <w:left w:w="75" w:type="dxa"/>
              <w:bottom w:w="30" w:type="dxa"/>
              <w:right w:w="75" w:type="dxa"/>
            </w:tcMar>
            <w:hideMark/>
          </w:tcPr>
          <w:p w:rsidR="00B0060D" w:rsidRPr="003C02EF" w:rsidRDefault="00B0060D" w:rsidP="00AB1230">
            <w:pPr>
              <w:jc w:val="right"/>
              <w:rPr>
                <w:rFonts w:ascii="Arial" w:hAnsi="Arial" w:cs="Arial"/>
                <w:color w:val="000000" w:themeColor="text1"/>
              </w:rPr>
            </w:pPr>
            <w:r w:rsidRPr="003C02EF">
              <w:rPr>
                <w:rFonts w:ascii="Arial" w:hAnsi="Arial" w:cs="Arial"/>
                <w:color w:val="000000" w:themeColor="text1"/>
              </w:rPr>
              <w:t>15,1</w:t>
            </w:r>
          </w:p>
        </w:tc>
        <w:tc>
          <w:tcPr>
            <w:tcW w:w="992" w:type="dxa"/>
            <w:tcBorders>
              <w:top w:val="single" w:sz="6" w:space="0" w:color="E5EFF8"/>
              <w:left w:val="single" w:sz="6" w:space="0" w:color="E5EFF8"/>
              <w:bottom w:val="single" w:sz="6" w:space="0" w:color="E5EFF8"/>
              <w:right w:val="single" w:sz="6" w:space="0" w:color="E5EFF8"/>
            </w:tcBorders>
            <w:shd w:val="clear" w:color="auto" w:fill="F4F4F4"/>
            <w:tcMar>
              <w:top w:w="30" w:type="dxa"/>
              <w:left w:w="75" w:type="dxa"/>
              <w:bottom w:w="30" w:type="dxa"/>
              <w:right w:w="75" w:type="dxa"/>
            </w:tcMar>
            <w:hideMark/>
          </w:tcPr>
          <w:p w:rsidR="00B0060D" w:rsidRPr="003C02EF" w:rsidRDefault="00B0060D" w:rsidP="00AB1230">
            <w:pPr>
              <w:jc w:val="right"/>
              <w:rPr>
                <w:rFonts w:ascii="Arial" w:hAnsi="Arial" w:cs="Arial"/>
                <w:color w:val="000000" w:themeColor="text1"/>
              </w:rPr>
            </w:pPr>
            <w:r w:rsidRPr="003C02EF">
              <w:rPr>
                <w:rFonts w:ascii="Arial" w:hAnsi="Arial" w:cs="Arial"/>
                <w:color w:val="000000" w:themeColor="text1"/>
              </w:rPr>
              <w:t>3,5</w:t>
            </w:r>
          </w:p>
        </w:tc>
        <w:tc>
          <w:tcPr>
            <w:tcW w:w="993" w:type="dxa"/>
            <w:tcBorders>
              <w:top w:val="single" w:sz="6" w:space="0" w:color="E5EFF8"/>
              <w:left w:val="single" w:sz="6" w:space="0" w:color="E5EFF8"/>
              <w:bottom w:val="single" w:sz="6" w:space="0" w:color="E5EFF8"/>
              <w:right w:val="single" w:sz="6" w:space="0" w:color="E5EFF8"/>
            </w:tcBorders>
            <w:shd w:val="clear" w:color="auto" w:fill="F4F4F4"/>
            <w:tcMar>
              <w:top w:w="30" w:type="dxa"/>
              <w:left w:w="75" w:type="dxa"/>
              <w:bottom w:w="30" w:type="dxa"/>
              <w:right w:w="75" w:type="dxa"/>
            </w:tcMar>
            <w:hideMark/>
          </w:tcPr>
          <w:p w:rsidR="00B0060D" w:rsidRPr="003C02EF" w:rsidRDefault="00B0060D" w:rsidP="00AB1230">
            <w:pPr>
              <w:jc w:val="right"/>
              <w:rPr>
                <w:rFonts w:ascii="Arial" w:hAnsi="Arial" w:cs="Arial"/>
                <w:color w:val="000000" w:themeColor="text1"/>
              </w:rPr>
            </w:pPr>
            <w:r w:rsidRPr="003C02EF">
              <w:rPr>
                <w:rFonts w:ascii="Arial" w:hAnsi="Arial" w:cs="Arial"/>
                <w:color w:val="000000" w:themeColor="text1"/>
              </w:rPr>
              <w:t>3,5</w:t>
            </w:r>
          </w:p>
        </w:tc>
        <w:tc>
          <w:tcPr>
            <w:tcW w:w="993" w:type="dxa"/>
            <w:tcBorders>
              <w:top w:val="single" w:sz="6" w:space="0" w:color="E5EFF8"/>
              <w:left w:val="single" w:sz="6" w:space="0" w:color="E5EFF8"/>
              <w:bottom w:val="single" w:sz="6" w:space="0" w:color="E5EFF8"/>
              <w:right w:val="single" w:sz="6" w:space="0" w:color="E5EFF8"/>
            </w:tcBorders>
            <w:shd w:val="clear" w:color="auto" w:fill="F4F4F4"/>
          </w:tcPr>
          <w:p w:rsidR="00B0060D" w:rsidRPr="003C02EF" w:rsidRDefault="00B0060D" w:rsidP="00AB1230">
            <w:pPr>
              <w:jc w:val="right"/>
              <w:rPr>
                <w:rFonts w:ascii="Arial" w:hAnsi="Arial" w:cs="Arial"/>
                <w:color w:val="000000" w:themeColor="text1"/>
              </w:rPr>
            </w:pPr>
            <w:r>
              <w:rPr>
                <w:rFonts w:ascii="Arial" w:hAnsi="Arial" w:cs="Arial"/>
                <w:color w:val="000000" w:themeColor="text1"/>
              </w:rPr>
              <w:t>3,5</w:t>
            </w:r>
          </w:p>
        </w:tc>
      </w:tr>
      <w:tr w:rsidR="00B0060D" w:rsidRPr="0081216E" w:rsidTr="00B0060D">
        <w:tc>
          <w:tcPr>
            <w:tcW w:w="3903" w:type="dxa"/>
            <w:tcBorders>
              <w:top w:val="single" w:sz="6" w:space="0" w:color="E5EFF8"/>
              <w:left w:val="single" w:sz="6" w:space="0" w:color="E5EFF8"/>
              <w:bottom w:val="single" w:sz="6" w:space="0" w:color="E5EFF8"/>
              <w:right w:val="single" w:sz="6" w:space="0" w:color="E5EFF8"/>
            </w:tcBorders>
            <w:shd w:val="clear" w:color="auto" w:fill="F9FCFE"/>
            <w:tcMar>
              <w:top w:w="30" w:type="dxa"/>
              <w:left w:w="75" w:type="dxa"/>
              <w:bottom w:w="30" w:type="dxa"/>
              <w:right w:w="75" w:type="dxa"/>
            </w:tcMar>
            <w:hideMark/>
          </w:tcPr>
          <w:p w:rsidR="00B0060D" w:rsidRPr="003C02EF" w:rsidRDefault="00B0060D" w:rsidP="00AB1230">
            <w:pPr>
              <w:rPr>
                <w:rFonts w:ascii="Arial" w:hAnsi="Arial" w:cs="Arial"/>
                <w:b/>
                <w:bCs/>
                <w:color w:val="000000" w:themeColor="text1"/>
              </w:rPr>
            </w:pPr>
            <w:r w:rsidRPr="003C02EF">
              <w:rPr>
                <w:rFonts w:ascii="Arial" w:hAnsi="Arial" w:cs="Arial"/>
                <w:b/>
                <w:bCs/>
                <w:color w:val="000000" w:themeColor="text1"/>
              </w:rPr>
              <w:t>Variazione del volume delle importazioni di beni e servizi (%)</w:t>
            </w:r>
          </w:p>
        </w:tc>
        <w:tc>
          <w:tcPr>
            <w:tcW w:w="1134" w:type="dxa"/>
            <w:tcBorders>
              <w:top w:val="single" w:sz="6" w:space="0" w:color="E5EFF8"/>
              <w:left w:val="single" w:sz="6" w:space="0" w:color="E5EFF8"/>
              <w:bottom w:val="single" w:sz="6" w:space="0" w:color="E5EFF8"/>
              <w:right w:val="single" w:sz="6" w:space="0" w:color="E5EFF8"/>
            </w:tcBorders>
            <w:shd w:val="clear" w:color="auto" w:fill="F4F4F4"/>
            <w:tcMar>
              <w:top w:w="30" w:type="dxa"/>
              <w:left w:w="75" w:type="dxa"/>
              <w:bottom w:w="30" w:type="dxa"/>
              <w:right w:w="75" w:type="dxa"/>
            </w:tcMar>
            <w:hideMark/>
          </w:tcPr>
          <w:p w:rsidR="00B0060D" w:rsidRPr="003C02EF" w:rsidRDefault="00B0060D" w:rsidP="00AB1230">
            <w:pPr>
              <w:jc w:val="right"/>
              <w:rPr>
                <w:rFonts w:ascii="Arial" w:hAnsi="Arial" w:cs="Arial"/>
                <w:color w:val="000000" w:themeColor="text1"/>
              </w:rPr>
            </w:pPr>
            <w:r w:rsidRPr="003C02EF">
              <w:rPr>
                <w:rFonts w:ascii="Arial" w:hAnsi="Arial" w:cs="Arial"/>
                <w:color w:val="000000" w:themeColor="text1"/>
              </w:rPr>
              <w:t>-37,5</w:t>
            </w:r>
          </w:p>
        </w:tc>
        <w:tc>
          <w:tcPr>
            <w:tcW w:w="992" w:type="dxa"/>
            <w:tcBorders>
              <w:top w:val="single" w:sz="6" w:space="0" w:color="E5EFF8"/>
              <w:left w:val="single" w:sz="6" w:space="0" w:color="E5EFF8"/>
              <w:bottom w:val="single" w:sz="6" w:space="0" w:color="E5EFF8"/>
              <w:right w:val="single" w:sz="6" w:space="0" w:color="E5EFF8"/>
            </w:tcBorders>
            <w:shd w:val="clear" w:color="auto" w:fill="F4F4F4"/>
            <w:tcMar>
              <w:top w:w="30" w:type="dxa"/>
              <w:left w:w="75" w:type="dxa"/>
              <w:bottom w:w="30" w:type="dxa"/>
              <w:right w:w="75" w:type="dxa"/>
            </w:tcMar>
            <w:hideMark/>
          </w:tcPr>
          <w:p w:rsidR="00B0060D" w:rsidRPr="003C02EF" w:rsidRDefault="00B0060D" w:rsidP="00AB1230">
            <w:pPr>
              <w:jc w:val="right"/>
              <w:rPr>
                <w:rFonts w:ascii="Arial" w:hAnsi="Arial" w:cs="Arial"/>
                <w:color w:val="000000" w:themeColor="text1"/>
              </w:rPr>
            </w:pPr>
            <w:r w:rsidRPr="003C02EF">
              <w:rPr>
                <w:rFonts w:ascii="Arial" w:hAnsi="Arial" w:cs="Arial"/>
                <w:color w:val="000000" w:themeColor="text1"/>
              </w:rPr>
              <w:t>2,1</w:t>
            </w:r>
          </w:p>
        </w:tc>
        <w:tc>
          <w:tcPr>
            <w:tcW w:w="992" w:type="dxa"/>
            <w:tcBorders>
              <w:top w:val="single" w:sz="6" w:space="0" w:color="E5EFF8"/>
              <w:left w:val="single" w:sz="6" w:space="0" w:color="E5EFF8"/>
              <w:bottom w:val="single" w:sz="6" w:space="0" w:color="E5EFF8"/>
              <w:right w:val="single" w:sz="6" w:space="0" w:color="E5EFF8"/>
            </w:tcBorders>
            <w:shd w:val="clear" w:color="auto" w:fill="F4F4F4"/>
            <w:tcMar>
              <w:top w:w="30" w:type="dxa"/>
              <w:left w:w="75" w:type="dxa"/>
              <w:bottom w:w="30" w:type="dxa"/>
              <w:right w:w="75" w:type="dxa"/>
            </w:tcMar>
            <w:hideMark/>
          </w:tcPr>
          <w:p w:rsidR="00B0060D" w:rsidRPr="003C02EF" w:rsidRDefault="00B0060D" w:rsidP="00AB1230">
            <w:pPr>
              <w:jc w:val="right"/>
              <w:rPr>
                <w:rFonts w:ascii="Arial" w:hAnsi="Arial" w:cs="Arial"/>
                <w:color w:val="000000" w:themeColor="text1"/>
              </w:rPr>
            </w:pPr>
            <w:r w:rsidRPr="003C02EF">
              <w:rPr>
                <w:rFonts w:ascii="Arial" w:hAnsi="Arial" w:cs="Arial"/>
                <w:color w:val="000000" w:themeColor="text1"/>
              </w:rPr>
              <w:t>18,1</w:t>
            </w:r>
          </w:p>
        </w:tc>
        <w:tc>
          <w:tcPr>
            <w:tcW w:w="993" w:type="dxa"/>
            <w:tcBorders>
              <w:top w:val="single" w:sz="6" w:space="0" w:color="E5EFF8"/>
              <w:left w:val="single" w:sz="6" w:space="0" w:color="E5EFF8"/>
              <w:bottom w:val="single" w:sz="6" w:space="0" w:color="E5EFF8"/>
              <w:right w:val="single" w:sz="6" w:space="0" w:color="E5EFF8"/>
            </w:tcBorders>
            <w:shd w:val="clear" w:color="auto" w:fill="F4F4F4"/>
            <w:tcMar>
              <w:top w:w="30" w:type="dxa"/>
              <w:left w:w="75" w:type="dxa"/>
              <w:bottom w:w="30" w:type="dxa"/>
              <w:right w:w="75" w:type="dxa"/>
            </w:tcMar>
            <w:hideMark/>
          </w:tcPr>
          <w:p w:rsidR="00B0060D" w:rsidRPr="003C02EF" w:rsidRDefault="00B0060D" w:rsidP="00AB1230">
            <w:pPr>
              <w:jc w:val="right"/>
              <w:rPr>
                <w:rFonts w:ascii="Arial" w:hAnsi="Arial" w:cs="Arial"/>
                <w:color w:val="000000" w:themeColor="text1"/>
              </w:rPr>
            </w:pPr>
            <w:r w:rsidRPr="003C02EF">
              <w:rPr>
                <w:rFonts w:ascii="Arial" w:hAnsi="Arial" w:cs="Arial"/>
                <w:color w:val="000000" w:themeColor="text1"/>
              </w:rPr>
              <w:t>6,5</w:t>
            </w:r>
          </w:p>
        </w:tc>
        <w:tc>
          <w:tcPr>
            <w:tcW w:w="993" w:type="dxa"/>
            <w:tcBorders>
              <w:top w:val="single" w:sz="6" w:space="0" w:color="E5EFF8"/>
              <w:left w:val="single" w:sz="6" w:space="0" w:color="E5EFF8"/>
              <w:bottom w:val="single" w:sz="6" w:space="0" w:color="E5EFF8"/>
              <w:right w:val="single" w:sz="6" w:space="0" w:color="E5EFF8"/>
            </w:tcBorders>
            <w:shd w:val="clear" w:color="auto" w:fill="F4F4F4"/>
          </w:tcPr>
          <w:p w:rsidR="00B0060D" w:rsidRPr="003C02EF" w:rsidRDefault="00B0060D" w:rsidP="00AB1230">
            <w:pPr>
              <w:jc w:val="right"/>
              <w:rPr>
                <w:rFonts w:ascii="Arial" w:hAnsi="Arial" w:cs="Arial"/>
                <w:color w:val="000000" w:themeColor="text1"/>
              </w:rPr>
            </w:pPr>
            <w:r>
              <w:rPr>
                <w:rFonts w:ascii="Arial" w:hAnsi="Arial" w:cs="Arial"/>
                <w:color w:val="000000" w:themeColor="text1"/>
              </w:rPr>
              <w:t>n.d.</w:t>
            </w:r>
          </w:p>
        </w:tc>
      </w:tr>
    </w:tbl>
    <w:p w:rsidR="00B0060D" w:rsidRPr="00A14D6A" w:rsidRDefault="00B0060D" w:rsidP="00B0060D">
      <w:pPr>
        <w:tabs>
          <w:tab w:val="left" w:pos="2370"/>
        </w:tabs>
        <w:rPr>
          <w:rFonts w:ascii="Arial" w:hAnsi="Arial" w:cs="Arial"/>
          <w:sz w:val="16"/>
          <w:szCs w:val="16"/>
        </w:rPr>
      </w:pPr>
      <w:r>
        <w:rPr>
          <w:rFonts w:ascii="Arial" w:hAnsi="Arial" w:cs="Arial"/>
          <w:sz w:val="16"/>
          <w:szCs w:val="16"/>
        </w:rPr>
        <w:t>Fonte: FMI, EIU, Infomercatiesteri.</w:t>
      </w:r>
    </w:p>
    <w:p w:rsidR="008E6942" w:rsidRDefault="008E6942" w:rsidP="008A7BC3">
      <w:pPr>
        <w:jc w:val="both"/>
        <w:rPr>
          <w:rFonts w:ascii="Arial" w:hAnsi="Arial" w:cs="Arial"/>
          <w:color w:val="5D6267"/>
        </w:rPr>
      </w:pPr>
    </w:p>
    <w:p w:rsidR="008E6942" w:rsidRDefault="008E6942" w:rsidP="008A7BC3">
      <w:pPr>
        <w:jc w:val="both"/>
        <w:rPr>
          <w:rFonts w:ascii="Arial" w:hAnsi="Arial" w:cs="Arial"/>
          <w:color w:val="5D6267"/>
        </w:rPr>
      </w:pPr>
    </w:p>
    <w:p w:rsidR="00A01F52" w:rsidRPr="00A01F52" w:rsidRDefault="00A01F52" w:rsidP="00A01F52">
      <w:pPr>
        <w:pStyle w:val="ListParagraph"/>
        <w:numPr>
          <w:ilvl w:val="0"/>
          <w:numId w:val="3"/>
        </w:numPr>
        <w:suppressAutoHyphens/>
        <w:rPr>
          <w:rFonts w:ascii="Arial" w:hAnsi="Arial" w:cs="Arial"/>
          <w:b/>
        </w:rPr>
      </w:pPr>
      <w:r w:rsidRPr="00A01F52">
        <w:rPr>
          <w:rFonts w:ascii="Arial" w:hAnsi="Arial" w:cs="Arial"/>
          <w:b/>
        </w:rPr>
        <w:t>Quadro macroeconomico</w:t>
      </w:r>
    </w:p>
    <w:p w:rsidR="00A01F52" w:rsidRPr="00405639" w:rsidRDefault="00A01F52" w:rsidP="00A01F52">
      <w:pPr>
        <w:rPr>
          <w:rFonts w:ascii="Arial" w:hAnsi="Arial" w:cs="Arial"/>
        </w:rPr>
      </w:pPr>
    </w:p>
    <w:p w:rsidR="00A01F52" w:rsidRPr="006137FE" w:rsidRDefault="00A01F52" w:rsidP="00A01F52">
      <w:pPr>
        <w:spacing w:line="276" w:lineRule="auto"/>
        <w:jc w:val="both"/>
        <w:rPr>
          <w:rFonts w:ascii="Arial" w:hAnsi="Arial" w:cs="Arial"/>
        </w:rPr>
      </w:pPr>
      <w:r w:rsidRPr="00405639">
        <w:rPr>
          <w:rFonts w:ascii="Arial" w:hAnsi="Arial" w:cs="Arial"/>
        </w:rPr>
        <w:t>Dopo anni di aumento del P</w:t>
      </w:r>
      <w:r w:rsidR="008B0D0B">
        <w:rPr>
          <w:rFonts w:ascii="Arial" w:hAnsi="Arial" w:cs="Arial"/>
        </w:rPr>
        <w:t>IL a una media del 7% (sostenuto</w:t>
      </w:r>
      <w:r w:rsidRPr="00405639">
        <w:rPr>
          <w:rFonts w:ascii="Arial" w:hAnsi="Arial" w:cs="Arial"/>
        </w:rPr>
        <w:t xml:space="preserve"> in particolare dalle attività del settore minerario ed energetico, nonché dagli investimenti infrastrutturali), la crisi economico-finanziaria che ha colpito il Paese nel 2016 ha ridotto la crescita del PIL al 3,8% nel 2016 ed al 3,7% nel 2017, trainata soprattutto dallo sviluppo del settore agricolo e delle attività minerarie. </w:t>
      </w:r>
      <w:r w:rsidRPr="00786E88">
        <w:rPr>
          <w:rFonts w:ascii="Arial" w:hAnsi="Arial" w:cs="Arial"/>
        </w:rPr>
        <w:t>Nel 2018, il Mozambico è cresciuto del 3,</w:t>
      </w:r>
      <w:r w:rsidRPr="006137FE">
        <w:rPr>
          <w:rFonts w:ascii="Arial" w:hAnsi="Arial" w:cs="Arial"/>
        </w:rPr>
        <w:t xml:space="preserve">25% (-0,5% rispetto al 2017 a causa del rallentamento del settore estrattivo). Per il 2019 si è registrata una crescita del 2,2%, rallentata dai due cicloni che si sono abbattuti sul Paese tra marzo e aprile 2019 e che hanno causato danni per oltre 3 miliardi di dollari. </w:t>
      </w:r>
    </w:p>
    <w:p w:rsidR="006137FE" w:rsidRPr="006137FE" w:rsidRDefault="006137FE" w:rsidP="00A01F52">
      <w:pPr>
        <w:spacing w:line="276" w:lineRule="auto"/>
        <w:jc w:val="both"/>
        <w:rPr>
          <w:rFonts w:ascii="Arial" w:hAnsi="Arial" w:cs="Arial"/>
        </w:rPr>
      </w:pPr>
    </w:p>
    <w:p w:rsidR="006137FE" w:rsidRPr="006137FE" w:rsidRDefault="006137FE" w:rsidP="006137FE">
      <w:pPr>
        <w:spacing w:line="276" w:lineRule="auto"/>
        <w:jc w:val="both"/>
        <w:rPr>
          <w:rFonts w:ascii="Arial" w:hAnsi="Arial" w:cs="Arial"/>
        </w:rPr>
      </w:pPr>
      <w:r w:rsidRPr="006137FE">
        <w:rPr>
          <w:rFonts w:ascii="Arial" w:hAnsi="Arial" w:cs="Arial"/>
        </w:rPr>
        <w:t>Il Mozambico ha sperimentato nel 2020, a causa dell’impatto della pandemia, la prima recessione dai tempi degli Accordi Generali di Pace: l’economia mozambi</w:t>
      </w:r>
      <w:r w:rsidR="009846D6">
        <w:rPr>
          <w:rFonts w:ascii="Arial" w:hAnsi="Arial" w:cs="Arial"/>
        </w:rPr>
        <w:t>cana si è contratta dell’1,3</w:t>
      </w:r>
      <w:r w:rsidRPr="006137FE">
        <w:rPr>
          <w:rFonts w:ascii="Arial" w:hAnsi="Arial" w:cs="Arial"/>
        </w:rPr>
        <w:t xml:space="preserve">% e, secondo le prime stime, l’andamento negativo si sarebbe confermato nel primo trimestre del 2021. Il FMI stima che l’anno in corso segnerà il ritorno alla crescita, ancorché moderata (2,1%); tuttavia il deterioramento delle condizioni di sicurezza a Cabo Delgado e i conseguenti ritardi nei mega progetti del gas espongono questa proiezione ad un elevato grado di incertezza. </w:t>
      </w:r>
    </w:p>
    <w:p w:rsidR="006137FE" w:rsidRPr="006137FE" w:rsidRDefault="006137FE" w:rsidP="006137FE">
      <w:pPr>
        <w:spacing w:line="276" w:lineRule="auto"/>
        <w:jc w:val="both"/>
        <w:rPr>
          <w:rFonts w:ascii="Arial" w:hAnsi="Arial" w:cs="Arial"/>
        </w:rPr>
      </w:pPr>
    </w:p>
    <w:p w:rsidR="006137FE" w:rsidRPr="006137FE" w:rsidRDefault="006137FE" w:rsidP="006137FE">
      <w:pPr>
        <w:spacing w:line="276" w:lineRule="auto"/>
        <w:jc w:val="both"/>
        <w:rPr>
          <w:rFonts w:ascii="Arial" w:hAnsi="Arial" w:cs="Arial"/>
        </w:rPr>
      </w:pPr>
      <w:r w:rsidRPr="006137FE">
        <w:rPr>
          <w:rFonts w:ascii="Arial" w:hAnsi="Arial" w:cs="Arial"/>
        </w:rPr>
        <w:t xml:space="preserve">L’indebitamento del Paese rimane elevato (secondo il FMI il rapporto debito/PIL ha toccato il 121% nel 2020 ed arriverà al 123,5% nel 2021), nonostante i consistenti aiuti prestati dalla comunità internazionale (in primis FMI, Banca Mondiale e UE) per </w:t>
      </w:r>
      <w:r w:rsidRPr="006137FE">
        <w:rPr>
          <w:rFonts w:ascii="Arial" w:hAnsi="Arial" w:cs="Arial"/>
        </w:rPr>
        <w:lastRenderedPageBreak/>
        <w:t xml:space="preserve">affrontare i costi sanitari e socio-economici della pandemia, per un ammontare complessivo di 700 milioni di dollari. Inoltre, il Mozambico ha usufruito delle moratorie sul pagamento del servizio del debito, come la DSSI (Debt Service Suspension Initiative) del G20, ora estesa sino alla fine 2021 e il CCRT (Catastrophe Containment and Relief Trust) del FMI, recentemente rifinanziato per coprire gli oneri previsti fino ad ottobre 2021. </w:t>
      </w:r>
    </w:p>
    <w:p w:rsidR="006137FE" w:rsidRPr="006137FE" w:rsidRDefault="006137FE" w:rsidP="006137FE">
      <w:pPr>
        <w:spacing w:line="276" w:lineRule="auto"/>
        <w:jc w:val="both"/>
        <w:rPr>
          <w:rFonts w:ascii="Arial" w:hAnsi="Arial" w:cs="Arial"/>
        </w:rPr>
      </w:pPr>
    </w:p>
    <w:p w:rsidR="006137FE" w:rsidRPr="006137FE" w:rsidRDefault="006137FE" w:rsidP="006137FE">
      <w:pPr>
        <w:spacing w:line="276" w:lineRule="auto"/>
        <w:jc w:val="both"/>
        <w:rPr>
          <w:rFonts w:ascii="Arial" w:hAnsi="Arial" w:cs="Arial"/>
        </w:rPr>
      </w:pPr>
      <w:r w:rsidRPr="006137FE">
        <w:rPr>
          <w:rFonts w:ascii="Arial" w:hAnsi="Arial" w:cs="Arial"/>
        </w:rPr>
        <w:t>Le stime di crescita del Paese nel medio-lungo periodo rimangono positive, per quanto fortemente (se non esclusivamente) legate al settore degli idrocarburi. A tal proposito, Total, dopo l’attacco alla città di Palma ha evacuato il sito del mega progetto Mozambique LNG (area 1 a Cabo Delgado), del valore di 23 miliardi di dollari, che avrebbe dovuto iniziare la produzione nel 2024. Sono di conseguenza sospese anche le attività di SAIPEM nell’ambito della commessa da 6 miliardi di dollari per la costruzione dei treni di liquefazione del gas. Allo stato, l’interruzione sembra destinata ad avere una lunga durata e non si intravvede un orizzonte temporale per la ripresa dei lavori. Il ritardo della prima estrazione di gas non dovrebbe essere, nel migliore dei casi, inferiore ai 18 mesi. Sono infatti stati risolti i rapporti contrattuali con i sub-contractors (tra i quali CMC) e si fanno sempre più insistenti le voci su un trasferimento della base logistica a Mayotte (che si trova a 400 km dalle riserve di gas naturale).</w:t>
      </w:r>
    </w:p>
    <w:p w:rsidR="006137FE" w:rsidRPr="006137FE" w:rsidRDefault="006137FE" w:rsidP="006137FE">
      <w:pPr>
        <w:spacing w:line="276" w:lineRule="auto"/>
        <w:jc w:val="both"/>
        <w:rPr>
          <w:rFonts w:ascii="Arial" w:hAnsi="Arial" w:cs="Arial"/>
        </w:rPr>
      </w:pPr>
    </w:p>
    <w:p w:rsidR="006137FE" w:rsidRPr="006137FE" w:rsidRDefault="006137FE" w:rsidP="006137FE">
      <w:pPr>
        <w:spacing w:line="276" w:lineRule="auto"/>
        <w:jc w:val="both"/>
        <w:rPr>
          <w:rFonts w:ascii="Arial" w:hAnsi="Arial" w:cs="Arial"/>
        </w:rPr>
      </w:pPr>
      <w:r w:rsidRPr="006137FE">
        <w:rPr>
          <w:rFonts w:ascii="Arial" w:hAnsi="Arial" w:cs="Arial"/>
        </w:rPr>
        <w:t xml:space="preserve">Allo stato, solo ENI prosegue le operazioni secondo la tabella di marcia che prevede l’inizio delle attività estrattive nel 2022 per il progetto offshore c.d. “Coral South”, del valore di 7 miliardi di dollari. È stato invece ribadito il posticipo sine die della Decisione Finale di Investimento sul progetto Rovuma LNG, del valore stimato tra 25 e 30 miliardi di dollari. Il Consorzio MRV (a guida paritetica Exxon-ENI) esclude che la FID possa essere presa in considerazione prima di due anni. </w:t>
      </w:r>
    </w:p>
    <w:p w:rsidR="006137FE" w:rsidRPr="006137FE" w:rsidRDefault="006137FE" w:rsidP="00A01F52">
      <w:pPr>
        <w:spacing w:line="276" w:lineRule="auto"/>
        <w:jc w:val="both"/>
        <w:rPr>
          <w:rFonts w:ascii="Arial" w:hAnsi="Arial" w:cs="Arial"/>
        </w:rPr>
      </w:pPr>
    </w:p>
    <w:p w:rsidR="00A01F52" w:rsidRDefault="00A01F52" w:rsidP="00A01F52">
      <w:pPr>
        <w:spacing w:line="276" w:lineRule="auto"/>
        <w:jc w:val="both"/>
        <w:rPr>
          <w:rFonts w:ascii="Arial" w:hAnsi="Arial" w:cs="Arial"/>
        </w:rPr>
      </w:pPr>
      <w:r>
        <w:rPr>
          <w:rFonts w:ascii="Arial" w:hAnsi="Arial" w:cs="Arial"/>
        </w:rPr>
        <w:t>Ne</w:t>
      </w:r>
      <w:r w:rsidR="00B3053A">
        <w:rPr>
          <w:rFonts w:ascii="Arial" w:hAnsi="Arial" w:cs="Arial"/>
        </w:rPr>
        <w:t>l 2020</w:t>
      </w:r>
      <w:r>
        <w:rPr>
          <w:rFonts w:ascii="Arial" w:hAnsi="Arial" w:cs="Arial"/>
        </w:rPr>
        <w:t xml:space="preserve"> le esportazioni de Mozambico sono diminuite del </w:t>
      </w:r>
      <w:r w:rsidR="006336F2">
        <w:rPr>
          <w:rFonts w:ascii="Arial" w:hAnsi="Arial" w:cs="Arial"/>
        </w:rPr>
        <w:t>23</w:t>
      </w:r>
      <w:r w:rsidR="00B3053A">
        <w:rPr>
          <w:rFonts w:ascii="Arial" w:hAnsi="Arial" w:cs="Arial"/>
        </w:rPr>
        <w:t>,1% rispetto al</w:t>
      </w:r>
      <w:r>
        <w:rPr>
          <w:rFonts w:ascii="Arial" w:hAnsi="Arial" w:cs="Arial"/>
        </w:rPr>
        <w:t xml:space="preserve"> 2019, attestandosi ad un valore pari a</w:t>
      </w:r>
      <w:r w:rsidR="00B3053A">
        <w:rPr>
          <w:rFonts w:ascii="Arial" w:hAnsi="Arial" w:cs="Arial"/>
        </w:rPr>
        <w:t xml:space="preserve"> quasi 3,6 </w:t>
      </w:r>
      <w:r>
        <w:rPr>
          <w:rFonts w:ascii="Arial" w:hAnsi="Arial" w:cs="Arial"/>
        </w:rPr>
        <w:t>miliardi di dollari, face</w:t>
      </w:r>
      <w:r w:rsidR="00B3053A">
        <w:rPr>
          <w:rFonts w:ascii="Arial" w:hAnsi="Arial" w:cs="Arial"/>
        </w:rPr>
        <w:t xml:space="preserve">ndo registrare un disavanzo di quasi 2,3 </w:t>
      </w:r>
      <w:r>
        <w:rPr>
          <w:rFonts w:ascii="Arial" w:hAnsi="Arial" w:cs="Arial"/>
        </w:rPr>
        <w:t xml:space="preserve">miliardi di dollari. Il rallentamento è stato causato dallo scoppio della pandemia di Covid-19 che ha determinato la riduzione dell’attività economica globale e conseguentemente della domanda esterna.  </w:t>
      </w:r>
    </w:p>
    <w:p w:rsidR="00E7178A" w:rsidRDefault="00E7178A" w:rsidP="00A01F52">
      <w:pPr>
        <w:spacing w:line="276" w:lineRule="auto"/>
        <w:jc w:val="both"/>
        <w:rPr>
          <w:rFonts w:ascii="Arial" w:hAnsi="Arial" w:cs="Arial"/>
        </w:rPr>
      </w:pPr>
    </w:p>
    <w:p w:rsidR="002E759A" w:rsidRPr="002E759A" w:rsidRDefault="002E759A" w:rsidP="002E759A">
      <w:pPr>
        <w:pStyle w:val="ListParagraph"/>
        <w:numPr>
          <w:ilvl w:val="0"/>
          <w:numId w:val="3"/>
        </w:numPr>
        <w:suppressAutoHyphens/>
        <w:jc w:val="both"/>
        <w:rPr>
          <w:rFonts w:ascii="Arial" w:hAnsi="Arial" w:cs="Arial"/>
          <w:b/>
        </w:rPr>
      </w:pPr>
      <w:r w:rsidRPr="002E759A">
        <w:rPr>
          <w:rFonts w:ascii="Arial" w:hAnsi="Arial" w:cs="Arial"/>
          <w:b/>
        </w:rPr>
        <w:t>Politica economica</w:t>
      </w:r>
    </w:p>
    <w:p w:rsidR="002E759A" w:rsidRDefault="002E759A" w:rsidP="002E759A">
      <w:pPr>
        <w:spacing w:line="276" w:lineRule="auto"/>
        <w:jc w:val="both"/>
        <w:rPr>
          <w:rFonts w:ascii="Arial" w:hAnsi="Arial" w:cs="Arial"/>
        </w:rPr>
      </w:pPr>
    </w:p>
    <w:p w:rsidR="00E7178A" w:rsidRPr="006137FE" w:rsidRDefault="00E7178A" w:rsidP="00E7178A">
      <w:pPr>
        <w:spacing w:line="276" w:lineRule="auto"/>
        <w:contextualSpacing/>
        <w:jc w:val="both"/>
        <w:rPr>
          <w:rFonts w:ascii="Arial" w:hAnsi="Arial" w:cs="Arial"/>
        </w:rPr>
      </w:pPr>
      <w:r w:rsidRPr="006137FE">
        <w:rPr>
          <w:rFonts w:ascii="Arial" w:hAnsi="Arial" w:cs="Arial"/>
        </w:rPr>
        <w:t xml:space="preserve">La Banca Centrale ha deciso ad inizio anno di alzare di 300 punti base il tasso di riferimento (dal 10,25% di ottobre 2020 al 13,25% di gennaio 2021) per far fronte alle prospettive di aggravamento di rischi e incertezze nel contesto globale e di rialzo dei </w:t>
      </w:r>
      <w:r w:rsidRPr="006137FE">
        <w:rPr>
          <w:rFonts w:ascii="Arial" w:hAnsi="Arial" w:cs="Arial"/>
        </w:rPr>
        <w:lastRenderedPageBreak/>
        <w:t>prezzi. Su questo punto, il Mozambico è in controtendenza, essendo stato il primo Paese al mondo ad alzare i tassi di interesse nel 2021; peraltro si tratta del primo rialzo del MIMO dalla sua introduzione come tasso di riferimento (2017). Questa mossa sembra aver tenuto sotto controllo l’inflazione, che per ora è contenuta (3,5% nel 2020, è stimata in accelerazione al 5% nel 2021), ma ha al contempo determinato un forte apprezzamento della valuta locale (+ 17% da inizio anno, dopo la caduta di oltre il 10% del valore del metical sperimentata nel 2020) data la politica di cambio flessibile attuata dal Banco de Moçambique al fine di mantenere stabile il livello delle riserve in valuta internazionale. Queste mosse hanno peraltro attirato critiche dagli ambienti imprenditoriali, per gli effetti negativi sui costi di finanziamento delle imprese e sul clima economico generale.</w:t>
      </w:r>
    </w:p>
    <w:p w:rsidR="00E7178A" w:rsidRDefault="00E7178A" w:rsidP="00E7178A">
      <w:pPr>
        <w:spacing w:line="276" w:lineRule="auto"/>
        <w:contextualSpacing/>
        <w:jc w:val="both"/>
        <w:rPr>
          <w:rFonts w:ascii="Arial" w:hAnsi="Arial" w:cs="Arial"/>
        </w:rPr>
      </w:pPr>
    </w:p>
    <w:p w:rsidR="00E60535" w:rsidRPr="00E60535" w:rsidRDefault="00E60535" w:rsidP="00E7178A">
      <w:pPr>
        <w:pStyle w:val="ListParagraph"/>
        <w:numPr>
          <w:ilvl w:val="0"/>
          <w:numId w:val="3"/>
        </w:numPr>
        <w:suppressAutoHyphens/>
        <w:jc w:val="both"/>
        <w:rPr>
          <w:rFonts w:ascii="Arial" w:hAnsi="Arial" w:cs="Arial"/>
          <w:b/>
        </w:rPr>
      </w:pPr>
      <w:r w:rsidRPr="00E60535">
        <w:rPr>
          <w:rFonts w:ascii="Arial" w:hAnsi="Arial" w:cs="Arial"/>
          <w:b/>
        </w:rPr>
        <w:t>Rapporti con l’Italia – investimenti – interscambio</w:t>
      </w:r>
    </w:p>
    <w:p w:rsidR="00E7178A" w:rsidRPr="00E7178A" w:rsidRDefault="00E7178A" w:rsidP="00E7178A">
      <w:pPr>
        <w:pStyle w:val="ListParagraph"/>
        <w:suppressAutoHyphens/>
        <w:jc w:val="both"/>
        <w:rPr>
          <w:rFonts w:ascii="Arial" w:hAnsi="Arial" w:cs="Arial"/>
          <w:b/>
        </w:rPr>
      </w:pPr>
    </w:p>
    <w:p w:rsidR="00E7178A" w:rsidRPr="00E7178A" w:rsidRDefault="00E7178A" w:rsidP="00E7178A">
      <w:pPr>
        <w:spacing w:line="276" w:lineRule="auto"/>
        <w:contextualSpacing/>
        <w:jc w:val="both"/>
        <w:rPr>
          <w:rFonts w:ascii="Arial" w:hAnsi="Arial" w:cs="Arial"/>
        </w:rPr>
      </w:pPr>
      <w:r w:rsidRPr="00E7178A">
        <w:rPr>
          <w:rFonts w:ascii="Arial" w:hAnsi="Arial" w:cs="Arial"/>
        </w:rPr>
        <w:t>Nel 2020 l'interscambio tra Italia e Mozambico è stato pari a 382 milioni di euro, in diminuzione rispetto a quello del 2019 che aveva fatto segnare 434,5 milioni di euro.</w:t>
      </w:r>
    </w:p>
    <w:p w:rsidR="00E7178A" w:rsidRPr="00E7178A" w:rsidRDefault="00E7178A" w:rsidP="00E7178A">
      <w:pPr>
        <w:spacing w:line="276" w:lineRule="auto"/>
        <w:contextualSpacing/>
        <w:jc w:val="both"/>
        <w:rPr>
          <w:rFonts w:ascii="Arial" w:hAnsi="Arial" w:cs="Arial"/>
        </w:rPr>
      </w:pPr>
    </w:p>
    <w:p w:rsidR="00E7178A" w:rsidRPr="00E7178A" w:rsidRDefault="00E7178A" w:rsidP="00E7178A">
      <w:pPr>
        <w:spacing w:line="276" w:lineRule="auto"/>
        <w:contextualSpacing/>
        <w:jc w:val="both"/>
        <w:rPr>
          <w:rFonts w:ascii="Cambria" w:eastAsia="Times New Roman" w:hAnsi="Cambria" w:cs="Times New Roman"/>
          <w:lang w:eastAsia="it-IT"/>
        </w:rPr>
      </w:pPr>
      <w:r w:rsidRPr="00E7178A">
        <w:rPr>
          <w:rFonts w:ascii="Arial" w:hAnsi="Arial" w:cs="Arial"/>
        </w:rPr>
        <w:t>Le esportazioni dell'Italia in Mozambico, malgrado il diffondersi della pandemia di Covid-19, hanno raggiunto il valore di 78,5 milioni di euro, un aumento del 34,9%</w:t>
      </w:r>
      <w:r w:rsidRPr="00E7178A">
        <w:rPr>
          <w:rFonts w:ascii="Arial" w:eastAsia="Times New Roman" w:hAnsi="Arial" w:cs="Arial"/>
          <w:color w:val="000000"/>
          <w:lang w:eastAsia="it-IT"/>
        </w:rPr>
        <w:t xml:space="preserve"> rispetto al 2019. Da sottolineare che si tratta del valore in assoluto più elevato dal 2002, superiore anche ai 71,8 milioni di euro fatti registrare nel 2014, anno in cui l'economia del Mozambico era in piena espansione ed il PIL cresceva a tasso prossimi all'8,0%. Tuttavia, tale dato non deve trarre in inganno poiché la diminuzione generalizzata della maggior parte delle voci doganali è stata bilanciata dall'aumento di esportazioni di elementi di costruzione in metallo, mat</w:t>
      </w:r>
      <w:r>
        <w:rPr>
          <w:rFonts w:ascii="Arial" w:eastAsia="Times New Roman" w:hAnsi="Arial" w:cs="Arial"/>
          <w:color w:val="000000"/>
          <w:lang w:eastAsia="it-IT"/>
        </w:rPr>
        <w:t>e</w:t>
      </w:r>
      <w:r w:rsidRPr="00E7178A">
        <w:rPr>
          <w:rFonts w:ascii="Arial" w:eastAsia="Times New Roman" w:hAnsi="Arial" w:cs="Arial"/>
          <w:color w:val="000000"/>
          <w:lang w:eastAsia="it-IT"/>
        </w:rPr>
        <w:t>riali per impalcature, escavatori e apparecchi per la movimentazione dovuta alla prosecuzione dei lavori nelle aree interessate dai mega progetti per l'estrazione del gas naturale. Si è anche registrata un'importante crescita nelle voci doganali relative a rotaie e veicoli per la manutenzione di strade ferrate, diretta conseguenza dell'aggiudicazione di una commessa da parte di un'impresa italiana del settore. Si segnala una ripresa delle esportazioni delle bevande, in particolare dei vini spumanti che hanno raggiunto il valore di 407 mila euro (+97,2% rispetto al 2019), mentre continua la discesa per i prodotti alimentari che si sono attestati ad un valore di 2,2 milioni di euro (-5,0% rispetto al 2019). </w:t>
      </w:r>
    </w:p>
    <w:p w:rsidR="00E7178A" w:rsidRPr="00E7178A" w:rsidRDefault="00E7178A" w:rsidP="00E7178A">
      <w:pPr>
        <w:spacing w:line="276" w:lineRule="auto"/>
        <w:contextualSpacing/>
        <w:jc w:val="both"/>
        <w:rPr>
          <w:rFonts w:ascii="Cambria" w:eastAsia="Times New Roman" w:hAnsi="Cambria" w:cs="Times New Roman"/>
          <w:lang w:eastAsia="it-IT"/>
        </w:rPr>
      </w:pPr>
      <w:r w:rsidRPr="00E7178A">
        <w:rPr>
          <w:rFonts w:ascii="Arial" w:eastAsia="Times New Roman" w:hAnsi="Arial" w:cs="Arial"/>
          <w:lang w:eastAsia="it-IT"/>
        </w:rPr>
        <w:t> </w:t>
      </w:r>
    </w:p>
    <w:p w:rsidR="00E7178A" w:rsidRPr="00E7178A" w:rsidRDefault="00E7178A" w:rsidP="00E7178A">
      <w:pPr>
        <w:spacing w:line="276" w:lineRule="auto"/>
        <w:contextualSpacing/>
        <w:jc w:val="both"/>
        <w:rPr>
          <w:rFonts w:ascii="Cambria" w:eastAsia="Times New Roman" w:hAnsi="Cambria" w:cs="Times New Roman"/>
          <w:lang w:eastAsia="it-IT"/>
        </w:rPr>
      </w:pPr>
      <w:r w:rsidRPr="00E7178A">
        <w:rPr>
          <w:rFonts w:ascii="Arial" w:eastAsia="Times New Roman" w:hAnsi="Arial" w:cs="Arial"/>
          <w:color w:val="000000"/>
          <w:lang w:eastAsia="it-IT"/>
        </w:rPr>
        <w:t xml:space="preserve">Il rallentamento generale dell'economia italiana, in particolare dell'indice di produzione industriale, dovuto al Covid-19 ha causato un forte calo delle importazioni dell'Italia dal Mozambico facendo registrare 303,5 milioni di euro nel 2020, un calo 19,4% rispetto al 2019. Si tratta essenzialmente di materie prime </w:t>
      </w:r>
      <w:r w:rsidRPr="00E7178A">
        <w:rPr>
          <w:rFonts w:ascii="Arial" w:eastAsia="Times New Roman" w:hAnsi="Arial" w:cs="Arial"/>
          <w:color w:val="000000"/>
          <w:lang w:eastAsia="it-IT"/>
        </w:rPr>
        <w:lastRenderedPageBreak/>
        <w:t>come alluminio (-15,7% per un valore di 255,5 milioni di euro), minerali di zirconio e granito (-39,5% per un valore di 29,9 milioni di euro) e rubini (-64,4% per un valore di 4,6 milioni di euro).</w:t>
      </w:r>
    </w:p>
    <w:p w:rsidR="00E7178A" w:rsidRPr="00E7178A" w:rsidRDefault="00E7178A" w:rsidP="00E7178A">
      <w:pPr>
        <w:spacing w:line="276" w:lineRule="auto"/>
        <w:contextualSpacing/>
        <w:jc w:val="both"/>
        <w:rPr>
          <w:rFonts w:ascii="Cambria" w:eastAsia="Times New Roman" w:hAnsi="Cambria" w:cs="Times New Roman"/>
          <w:lang w:eastAsia="it-IT"/>
        </w:rPr>
      </w:pPr>
      <w:r w:rsidRPr="00E7178A">
        <w:rPr>
          <w:rFonts w:ascii="Arial" w:eastAsia="Times New Roman" w:hAnsi="Arial" w:cs="Arial"/>
          <w:lang w:eastAsia="it-IT"/>
        </w:rPr>
        <w:t> </w:t>
      </w:r>
    </w:p>
    <w:p w:rsidR="00E7178A" w:rsidRPr="00E7178A" w:rsidRDefault="00E7178A" w:rsidP="00E7178A">
      <w:pPr>
        <w:spacing w:line="276" w:lineRule="auto"/>
        <w:contextualSpacing/>
        <w:jc w:val="both"/>
        <w:rPr>
          <w:rFonts w:ascii="Arial" w:eastAsia="Times New Roman" w:hAnsi="Arial" w:cs="Arial"/>
          <w:color w:val="000000"/>
          <w:lang w:eastAsia="it-IT"/>
        </w:rPr>
      </w:pPr>
      <w:r w:rsidRPr="00E7178A">
        <w:rPr>
          <w:rFonts w:ascii="Arial" w:eastAsia="Times New Roman" w:hAnsi="Arial" w:cs="Arial"/>
          <w:lang w:eastAsia="it-IT"/>
        </w:rPr>
        <w:t xml:space="preserve">In prospettiva, le aspettative di crescita del Mozambico restano positive. Gli ingenti giacimenti di gas naturale e la ricchezza mineraria del Paese (carbone, grafite e sabbie pesanti in particolare) continueranno ad attrarre nel medio termine importanti flussi di investimenti esteri diretti, alimentando anche il relativo indotto e creando </w:t>
      </w:r>
      <w:r w:rsidRPr="00E7178A">
        <w:rPr>
          <w:rFonts w:ascii="Arial" w:eastAsia="Times New Roman" w:hAnsi="Arial" w:cs="Arial"/>
          <w:color w:val="000000"/>
          <w:lang w:eastAsia="it-IT"/>
        </w:rPr>
        <w:t>così nuovi spazi anche per le PMI.</w:t>
      </w:r>
    </w:p>
    <w:p w:rsidR="00E7178A" w:rsidRPr="00B34770" w:rsidRDefault="00E7178A" w:rsidP="00E7178A">
      <w:pPr>
        <w:spacing w:line="276" w:lineRule="auto"/>
        <w:contextualSpacing/>
        <w:jc w:val="both"/>
        <w:rPr>
          <w:rFonts w:ascii="Arial" w:eastAsia="Times New Roman" w:hAnsi="Arial" w:cs="Arial"/>
          <w:color w:val="000000"/>
          <w:lang w:eastAsia="it-IT"/>
        </w:rPr>
      </w:pPr>
    </w:p>
    <w:p w:rsidR="00B34770" w:rsidRPr="00B34770" w:rsidRDefault="00B34770" w:rsidP="00B34770">
      <w:pPr>
        <w:spacing w:line="276" w:lineRule="auto"/>
        <w:contextualSpacing/>
        <w:jc w:val="both"/>
        <w:rPr>
          <w:rFonts w:ascii="Arial" w:eastAsia="Times New Roman" w:hAnsi="Arial" w:cs="Arial"/>
          <w:color w:val="000000"/>
          <w:lang w:eastAsia="it-IT"/>
        </w:rPr>
      </w:pPr>
      <w:r w:rsidRPr="00B34770">
        <w:rPr>
          <w:rFonts w:ascii="Arial" w:eastAsia="Times New Roman" w:hAnsi="Arial" w:cs="Arial"/>
          <w:color w:val="000000"/>
          <w:lang w:eastAsia="it-IT"/>
        </w:rPr>
        <w:t>L'Italia si conferma il primo investitore europeo nel Paese, con 3,8 miliardi di dollari di IDE negli ultimi dieci anni (2011-2020), seguita da Paesi Bassi (3,0 miliardi di dollari), Portogallo (817 milioni di dollari), Irlanda (272 milioni di dollari) e Francia (146 milioni di dollari) e risulta il terzo investitore a livello globale (dopo Emirati Arabi Uniti con 7,3 miliardi di dollari e Stati Uniti con 5,2 miliardi di dollari) nello stesso periodo.  Nel solo 2020, l'Italia ha investito in Mozambico 315 milioni di dollari, confermandosi il terzo investitore in assoluto dopo Paesi Bassi e (882 milioni di dollari) e Sudafrica (514 milioni di dollari). Nel 2020 il totale degli IDE registrati in Mozambico è stato pari a 2,3 miliardi di dollari, di cui 1,9 miliardi sono stati destinati all'industria estrattiva (carbone, petrolio, gas e minerali).</w:t>
      </w:r>
    </w:p>
    <w:p w:rsidR="00B34770" w:rsidRPr="00B34770" w:rsidRDefault="00B34770" w:rsidP="00E60535">
      <w:pPr>
        <w:spacing w:line="276" w:lineRule="auto"/>
        <w:contextualSpacing/>
        <w:jc w:val="both"/>
        <w:rPr>
          <w:rFonts w:ascii="Arial" w:eastAsia="Times New Roman" w:hAnsi="Arial" w:cs="Arial"/>
          <w:color w:val="000000"/>
          <w:lang w:eastAsia="it-IT"/>
        </w:rPr>
      </w:pPr>
    </w:p>
    <w:p w:rsidR="00E60535" w:rsidRPr="006C4DC1" w:rsidRDefault="00E60535" w:rsidP="00E60535">
      <w:pPr>
        <w:spacing w:line="276" w:lineRule="auto"/>
        <w:contextualSpacing/>
        <w:jc w:val="both"/>
        <w:rPr>
          <w:rFonts w:ascii="Arial" w:hAnsi="Arial" w:cs="Arial"/>
        </w:rPr>
      </w:pPr>
      <w:r w:rsidRPr="00B34770">
        <w:rPr>
          <w:rFonts w:ascii="Arial" w:eastAsia="Times New Roman" w:hAnsi="Arial" w:cs="Arial"/>
          <w:color w:val="000000"/>
          <w:lang w:eastAsia="it-IT"/>
        </w:rPr>
        <w:t>Nel Paese sono presenti circa 50 aziende italiane, fra cui ENI (oil&amp;gas), SAIPEM (ingegneria nel settore dell'energia e infrastrutture), CMC (costruzioni civili), Bonatti (i</w:t>
      </w:r>
      <w:r w:rsidRPr="006C4DC1">
        <w:rPr>
          <w:rFonts w:ascii="Arial" w:hAnsi="Arial" w:cs="Arial"/>
        </w:rPr>
        <w:t xml:space="preserve">ngegneria e oil&amp;gas), Nuovo Pignone (turbine a gas), Rina (servizi integrati di ingegneria portuale e marittima) e Renco (edilizia e strutture alberghiere). </w:t>
      </w:r>
    </w:p>
    <w:p w:rsidR="00E60535" w:rsidRPr="006C4DC1" w:rsidRDefault="00E60535" w:rsidP="00E60535">
      <w:pPr>
        <w:spacing w:line="276" w:lineRule="auto"/>
        <w:jc w:val="both"/>
        <w:rPr>
          <w:rFonts w:ascii="Arial" w:hAnsi="Arial" w:cs="Arial"/>
        </w:rPr>
      </w:pPr>
      <w:r w:rsidRPr="006C4DC1">
        <w:rPr>
          <w:rFonts w:ascii="Arial" w:hAnsi="Arial" w:cs="Arial"/>
        </w:rPr>
        <w:t> </w:t>
      </w:r>
    </w:p>
    <w:p w:rsidR="001F2A80" w:rsidRDefault="00E60535" w:rsidP="00E60535">
      <w:pPr>
        <w:spacing w:line="276" w:lineRule="auto"/>
        <w:jc w:val="both"/>
        <w:rPr>
          <w:rFonts w:ascii="Arial" w:hAnsi="Arial" w:cs="Arial"/>
        </w:rPr>
      </w:pPr>
      <w:r w:rsidRPr="006C4DC1">
        <w:rPr>
          <w:rFonts w:ascii="Arial" w:hAnsi="Arial" w:cs="Arial"/>
        </w:rPr>
        <w:t>ENI svolge un ruolo di primo piano per quanto concerne i grandi progetti nel settore energetico, futuro volano della crescita. Nel nord del Paes</w:t>
      </w:r>
      <w:r w:rsidR="00435492">
        <w:rPr>
          <w:rFonts w:ascii="Arial" w:hAnsi="Arial" w:cs="Arial"/>
        </w:rPr>
        <w:t>e (Provincia di Cabo Delgado) h</w:t>
      </w:r>
      <w:r w:rsidRPr="006C4DC1">
        <w:rPr>
          <w:rFonts w:ascii="Arial" w:hAnsi="Arial" w:cs="Arial"/>
        </w:rPr>
        <w:t>a avviato nel 2017 un progetto di estrazione e liquefazione del gas offshore (c.d. “Coral South”)</w:t>
      </w:r>
      <w:r w:rsidR="001F2A80">
        <w:rPr>
          <w:rFonts w:ascii="Arial" w:hAnsi="Arial" w:cs="Arial"/>
        </w:rPr>
        <w:t xml:space="preserve">. </w:t>
      </w:r>
    </w:p>
    <w:p w:rsidR="001F2A80" w:rsidRDefault="001F2A80" w:rsidP="00E60535">
      <w:pPr>
        <w:spacing w:line="276" w:lineRule="auto"/>
        <w:jc w:val="both"/>
        <w:rPr>
          <w:rFonts w:ascii="Arial" w:hAnsi="Arial" w:cs="Arial"/>
        </w:rPr>
      </w:pPr>
    </w:p>
    <w:p w:rsidR="001F2A80" w:rsidRDefault="001F2A80" w:rsidP="001F2A80">
      <w:pPr>
        <w:spacing w:line="276" w:lineRule="auto"/>
        <w:jc w:val="both"/>
        <w:rPr>
          <w:rFonts w:ascii="Arial" w:hAnsi="Arial" w:cs="Arial"/>
        </w:rPr>
      </w:pPr>
      <w:r w:rsidRPr="00CD37CD">
        <w:rPr>
          <w:rFonts w:ascii="Arial" w:hAnsi="Arial" w:cs="Arial"/>
        </w:rPr>
        <w:t xml:space="preserve">Le attività di perforazioni integrate nel progetto </w:t>
      </w:r>
      <w:r>
        <w:rPr>
          <w:rFonts w:ascii="Arial" w:hAnsi="Arial" w:cs="Arial"/>
        </w:rPr>
        <w:t>del Coral Sul, nel Bacino di Rov</w:t>
      </w:r>
      <w:r w:rsidRPr="00CD37CD">
        <w:rPr>
          <w:rFonts w:ascii="Arial" w:hAnsi="Arial" w:cs="Arial"/>
        </w:rPr>
        <w:t xml:space="preserve">uma, a Cabo Delgado, </w:t>
      </w:r>
      <w:r>
        <w:rPr>
          <w:rFonts w:ascii="Arial" w:hAnsi="Arial" w:cs="Arial"/>
        </w:rPr>
        <w:t xml:space="preserve">sono riprese nel </w:t>
      </w:r>
      <w:r w:rsidRPr="00CD37CD">
        <w:rPr>
          <w:rFonts w:ascii="Arial" w:hAnsi="Arial" w:cs="Arial"/>
        </w:rPr>
        <w:t>mese di gennaio</w:t>
      </w:r>
      <w:r>
        <w:rPr>
          <w:rFonts w:ascii="Arial" w:hAnsi="Arial" w:cs="Arial"/>
        </w:rPr>
        <w:t xml:space="preserve"> 2021 sotto la guida della</w:t>
      </w:r>
      <w:r w:rsidRPr="00CD37CD">
        <w:rPr>
          <w:rFonts w:ascii="Arial" w:hAnsi="Arial" w:cs="Arial"/>
        </w:rPr>
        <w:t xml:space="preserve"> società concessionaria MRV, operatrice dell'Area 4 e del progetto Coral Sul, </w:t>
      </w:r>
      <w:r>
        <w:rPr>
          <w:rFonts w:ascii="Arial" w:hAnsi="Arial" w:cs="Arial"/>
        </w:rPr>
        <w:t>che ha notificato alle autorità mozambicane l’arrivo della nave SAIPEM 12000 nella città di Pemba</w:t>
      </w:r>
      <w:r w:rsidRPr="00CD37CD">
        <w:rPr>
          <w:rFonts w:ascii="Arial" w:hAnsi="Arial" w:cs="Arial"/>
        </w:rPr>
        <w:t xml:space="preserve"> dopo otto mesi di interruzione a causa della pandemia di Covid-19. </w:t>
      </w:r>
    </w:p>
    <w:p w:rsidR="001F2A80" w:rsidRDefault="001F2A80" w:rsidP="001F2A80">
      <w:pPr>
        <w:spacing w:line="276" w:lineRule="auto"/>
        <w:jc w:val="both"/>
        <w:rPr>
          <w:rFonts w:ascii="Arial" w:hAnsi="Arial" w:cs="Arial"/>
        </w:rPr>
      </w:pPr>
    </w:p>
    <w:p w:rsidR="001F2A80" w:rsidRDefault="001F2A80" w:rsidP="001F2A80">
      <w:pPr>
        <w:spacing w:line="276" w:lineRule="auto"/>
        <w:jc w:val="both"/>
        <w:rPr>
          <w:rFonts w:ascii="Arial" w:hAnsi="Arial" w:cs="Arial"/>
        </w:rPr>
      </w:pPr>
      <w:r w:rsidRPr="00CD37CD">
        <w:rPr>
          <w:rFonts w:ascii="Arial" w:hAnsi="Arial" w:cs="Arial"/>
        </w:rPr>
        <w:t xml:space="preserve">L'Istituto Nazionale del Petrolio (INP) mozambicano </w:t>
      </w:r>
      <w:r>
        <w:rPr>
          <w:rFonts w:ascii="Arial" w:hAnsi="Arial" w:cs="Arial"/>
        </w:rPr>
        <w:t xml:space="preserve">ha </w:t>
      </w:r>
      <w:r w:rsidRPr="00CD37CD">
        <w:rPr>
          <w:rFonts w:ascii="Arial" w:hAnsi="Arial" w:cs="Arial"/>
        </w:rPr>
        <w:t>afferma</w:t>
      </w:r>
      <w:r>
        <w:rPr>
          <w:rFonts w:ascii="Arial" w:hAnsi="Arial" w:cs="Arial"/>
        </w:rPr>
        <w:t xml:space="preserve">to </w:t>
      </w:r>
      <w:r w:rsidRPr="00CD37CD">
        <w:rPr>
          <w:rFonts w:ascii="Arial" w:hAnsi="Arial" w:cs="Arial"/>
        </w:rPr>
        <w:t xml:space="preserve">che la costruzione della piattaforma fluttuante Coral Sul FLNG prosegue secondo quanto previsto in </w:t>
      </w:r>
      <w:r w:rsidRPr="00CD37CD">
        <w:rPr>
          <w:rFonts w:ascii="Arial" w:hAnsi="Arial" w:cs="Arial"/>
        </w:rPr>
        <w:lastRenderedPageBreak/>
        <w:t xml:space="preserve">Corea del Sud, dal momento che l'inizio della produzione del Gas Naturale Liquefatto (GNL) continua ad essere programmato per il 2022. </w:t>
      </w:r>
    </w:p>
    <w:p w:rsidR="001F2A80" w:rsidRDefault="001F2A80" w:rsidP="001F2A80">
      <w:pPr>
        <w:spacing w:line="276" w:lineRule="auto"/>
        <w:jc w:val="both"/>
        <w:rPr>
          <w:rFonts w:ascii="Arial" w:hAnsi="Arial" w:cs="Arial"/>
        </w:rPr>
      </w:pPr>
    </w:p>
    <w:p w:rsidR="00435492" w:rsidRDefault="001F2A80" w:rsidP="001F2A80">
      <w:pPr>
        <w:spacing w:line="276" w:lineRule="auto"/>
        <w:jc w:val="both"/>
        <w:rPr>
          <w:rFonts w:ascii="Arial" w:hAnsi="Arial" w:cs="Arial"/>
        </w:rPr>
      </w:pPr>
      <w:r>
        <w:rPr>
          <w:rFonts w:ascii="Arial" w:hAnsi="Arial" w:cs="Arial"/>
        </w:rPr>
        <w:t>Il</w:t>
      </w:r>
      <w:r w:rsidRPr="00CD37CD">
        <w:rPr>
          <w:rFonts w:ascii="Arial" w:hAnsi="Arial" w:cs="Arial"/>
        </w:rPr>
        <w:t xml:space="preserve"> progetto Coral Sul FLNG è sviluppato dalle società concessionar</w:t>
      </w:r>
      <w:r>
        <w:rPr>
          <w:rFonts w:ascii="Arial" w:hAnsi="Arial" w:cs="Arial"/>
        </w:rPr>
        <w:t>ie dell'Area 4 del Bacino di Rov</w:t>
      </w:r>
      <w:r w:rsidRPr="00CD37CD">
        <w:rPr>
          <w:rFonts w:ascii="Arial" w:hAnsi="Arial" w:cs="Arial"/>
        </w:rPr>
        <w:t>uma, sotto la guida della società operatrice MRV SpA che</w:t>
      </w:r>
      <w:r w:rsidR="00435492" w:rsidRPr="00435492">
        <w:rPr>
          <w:rFonts w:ascii="Arial" w:hAnsi="Arial" w:cs="Arial"/>
        </w:rPr>
        <w:t xml:space="preserve"> </w:t>
      </w:r>
      <w:r w:rsidR="00435492">
        <w:rPr>
          <w:rFonts w:ascii="Arial" w:hAnsi="Arial" w:cs="Arial"/>
        </w:rPr>
        <w:t>includono la Mozambico Rov</w:t>
      </w:r>
      <w:r w:rsidR="00435492" w:rsidRPr="00CD37CD">
        <w:rPr>
          <w:rFonts w:ascii="Arial" w:hAnsi="Arial" w:cs="Arial"/>
        </w:rPr>
        <w:t>uma Venture (MRV) SpA, una joint venture di cui E</w:t>
      </w:r>
      <w:r w:rsidR="00435492">
        <w:rPr>
          <w:rFonts w:ascii="Arial" w:hAnsi="Arial" w:cs="Arial"/>
        </w:rPr>
        <w:t>NI (35,7%, Exxonmobil (35,7%) e CNPC (28,6%), sono co</w:t>
      </w:r>
      <w:r w:rsidR="00435492" w:rsidRPr="00CD37CD">
        <w:rPr>
          <w:rFonts w:ascii="Arial" w:hAnsi="Arial" w:cs="Arial"/>
        </w:rPr>
        <w:t>proprietarie con il 70% delle quote; l'Impresa Nazionale di Idrocarburi E.P. (ENH),</w:t>
      </w:r>
      <w:r w:rsidR="00435492">
        <w:rPr>
          <w:rFonts w:ascii="Arial" w:hAnsi="Arial" w:cs="Arial"/>
        </w:rPr>
        <w:t xml:space="preserve"> con il 10%; La Galp Energia Rov</w:t>
      </w:r>
      <w:r w:rsidR="00435492" w:rsidRPr="00CD37CD">
        <w:rPr>
          <w:rFonts w:ascii="Arial" w:hAnsi="Arial" w:cs="Arial"/>
        </w:rPr>
        <w:t>uma B.V., con il 10%; e la Kogas Moçambique Lda con il 10%</w:t>
      </w:r>
      <w:r w:rsidR="00435492">
        <w:rPr>
          <w:rFonts w:ascii="Arial" w:hAnsi="Arial" w:cs="Arial"/>
        </w:rPr>
        <w:t>.</w:t>
      </w:r>
    </w:p>
    <w:p w:rsidR="00435492" w:rsidRDefault="00435492" w:rsidP="001F2A80">
      <w:pPr>
        <w:spacing w:line="276" w:lineRule="auto"/>
        <w:jc w:val="both"/>
        <w:rPr>
          <w:rFonts w:ascii="Arial" w:hAnsi="Arial" w:cs="Arial"/>
        </w:rPr>
      </w:pPr>
    </w:p>
    <w:p w:rsidR="001F2A80" w:rsidRDefault="00435492" w:rsidP="001F2A80">
      <w:pPr>
        <w:spacing w:line="276" w:lineRule="auto"/>
        <w:jc w:val="both"/>
        <w:rPr>
          <w:rFonts w:ascii="Arial" w:hAnsi="Arial" w:cs="Arial"/>
        </w:rPr>
      </w:pPr>
      <w:r>
        <w:rPr>
          <w:rFonts w:ascii="Arial" w:hAnsi="Arial" w:cs="Arial"/>
        </w:rPr>
        <w:t xml:space="preserve">La MRV </w:t>
      </w:r>
      <w:r w:rsidR="001F2A80" w:rsidRPr="00CD37CD">
        <w:rPr>
          <w:rFonts w:ascii="Arial" w:hAnsi="Arial" w:cs="Arial"/>
        </w:rPr>
        <w:t>nell'ambito delle sue attività descritte nel Contratto di Concessione per la Ricerca e la Produzione di Petrolio, ha scoperto 77 mila miliardi di piedi cubici (Tcf) di gas naturale. Per dare valore aggiunto a questa risorsa,</w:t>
      </w:r>
      <w:r>
        <w:rPr>
          <w:rFonts w:ascii="Arial" w:hAnsi="Arial" w:cs="Arial"/>
        </w:rPr>
        <w:t xml:space="preserve"> </w:t>
      </w:r>
      <w:r w:rsidRPr="00CD37CD">
        <w:rPr>
          <w:rFonts w:ascii="Arial" w:hAnsi="Arial" w:cs="Arial"/>
        </w:rPr>
        <w:t>le società concessionar</w:t>
      </w:r>
      <w:r>
        <w:rPr>
          <w:rFonts w:ascii="Arial" w:hAnsi="Arial" w:cs="Arial"/>
        </w:rPr>
        <w:t>ie dell'Area 4 del Bacino di Rovuma</w:t>
      </w:r>
      <w:r w:rsidR="001F2A80" w:rsidRPr="00CD37CD">
        <w:rPr>
          <w:rFonts w:ascii="Arial" w:hAnsi="Arial" w:cs="Arial"/>
        </w:rPr>
        <w:t xml:space="preserve"> </w:t>
      </w:r>
      <w:r>
        <w:rPr>
          <w:rFonts w:ascii="Arial" w:hAnsi="Arial" w:cs="Arial"/>
        </w:rPr>
        <w:t xml:space="preserve">hanno </w:t>
      </w:r>
      <w:r w:rsidR="001F2A80" w:rsidRPr="00CD37CD">
        <w:rPr>
          <w:rFonts w:ascii="Arial" w:hAnsi="Arial" w:cs="Arial"/>
        </w:rPr>
        <w:t xml:space="preserve">sottoposto al Governo il piano di sviluppo, approvato a febbraio 2016, che descrive il progetto di produzione di gas naturale e la rispettiva liquefazione a partire da una piattaforma fluttuante. </w:t>
      </w:r>
    </w:p>
    <w:p w:rsidR="001F2A80" w:rsidRDefault="001F2A80" w:rsidP="001F2A80">
      <w:pPr>
        <w:spacing w:line="276" w:lineRule="auto"/>
        <w:jc w:val="both"/>
        <w:rPr>
          <w:rFonts w:ascii="Arial" w:hAnsi="Arial" w:cs="Arial"/>
        </w:rPr>
      </w:pPr>
    </w:p>
    <w:p w:rsidR="001F2A80" w:rsidRDefault="001F2A80" w:rsidP="001F2A80">
      <w:pPr>
        <w:spacing w:line="276" w:lineRule="auto"/>
        <w:jc w:val="both"/>
        <w:rPr>
          <w:rFonts w:ascii="Arial" w:hAnsi="Arial" w:cs="Arial"/>
        </w:rPr>
      </w:pPr>
      <w:r w:rsidRPr="00CD37CD">
        <w:rPr>
          <w:rFonts w:ascii="Arial" w:hAnsi="Arial" w:cs="Arial"/>
        </w:rPr>
        <w:t xml:space="preserve">L'unità di liquefazione del gas naturale, che deve essere installata in mare, avrà la capacità di produrre 3,4 milioni di tonnellate per anno (mtpa) di gas naturale. L'investimento per questo progetto è di </w:t>
      </w:r>
      <w:r w:rsidR="00435492">
        <w:rPr>
          <w:rFonts w:ascii="Arial" w:hAnsi="Arial" w:cs="Arial"/>
        </w:rPr>
        <w:t xml:space="preserve">7 </w:t>
      </w:r>
      <w:r w:rsidRPr="00CD37CD">
        <w:rPr>
          <w:rFonts w:ascii="Arial" w:hAnsi="Arial" w:cs="Arial"/>
        </w:rPr>
        <w:t xml:space="preserve">miliardi di dollari, con una previsione di profitti diretti dell'ordine di 39,1 miliardi di dollari, dei quali circa 19,3 miliardi saranno incamerati dallo Stato Mozambicano durante i 25 anni di vita utile del progetto, attraverso imposte (IPP e IRPC), bonus, tasse e dalla partecipazione agli utili. </w:t>
      </w:r>
    </w:p>
    <w:p w:rsidR="00863754" w:rsidRDefault="00863754" w:rsidP="001F2A80">
      <w:pPr>
        <w:spacing w:line="276" w:lineRule="auto"/>
        <w:jc w:val="both"/>
        <w:rPr>
          <w:rFonts w:ascii="Arial" w:hAnsi="Arial" w:cs="Arial"/>
        </w:rPr>
      </w:pPr>
    </w:p>
    <w:p w:rsidR="00863754" w:rsidRDefault="00863754" w:rsidP="00863754">
      <w:pPr>
        <w:spacing w:line="276" w:lineRule="auto"/>
        <w:jc w:val="both"/>
        <w:rPr>
          <w:rFonts w:ascii="Arial" w:hAnsi="Arial" w:cs="Arial"/>
        </w:rPr>
      </w:pPr>
      <w:r w:rsidRPr="006C4DC1">
        <w:rPr>
          <w:rFonts w:ascii="Arial" w:hAnsi="Arial" w:cs="Arial"/>
        </w:rPr>
        <w:t>Lo stesso Consorzio ha annunciato un ulteriore progetto di investimento onshore</w:t>
      </w:r>
      <w:r>
        <w:rPr>
          <w:rFonts w:ascii="Arial" w:hAnsi="Arial" w:cs="Arial"/>
        </w:rPr>
        <w:t>, Rovuma LNG,</w:t>
      </w:r>
      <w:r w:rsidRPr="006C4DC1">
        <w:rPr>
          <w:rFonts w:ascii="Arial" w:hAnsi="Arial" w:cs="Arial"/>
        </w:rPr>
        <w:t xml:space="preserve"> di circa 25 miliardi di dollari (c.d. Mamba)</w:t>
      </w:r>
      <w:r>
        <w:rPr>
          <w:rFonts w:ascii="Arial" w:hAnsi="Arial" w:cs="Arial"/>
        </w:rPr>
        <w:t xml:space="preserve">. Nell’ottobre 2019 si è tenuta a Maputo la cerimonia per l’adozione della Decisione Iniziale di Investimento. L’ENI gestirà le operazioni upstream, per le quali ha un’expertise consolidata. Sono in corso </w:t>
      </w:r>
      <w:r w:rsidRPr="006C4DC1">
        <w:rPr>
          <w:rFonts w:ascii="Arial" w:hAnsi="Arial" w:cs="Arial"/>
        </w:rPr>
        <w:t>con il Governo mozambicano</w:t>
      </w:r>
      <w:r>
        <w:rPr>
          <w:rFonts w:ascii="Arial" w:hAnsi="Arial" w:cs="Arial"/>
        </w:rPr>
        <w:t xml:space="preserve"> i negoziati sotto il profilo della sicurezza a seguito del riacutizzarsi di attacchi compiuti da musulmani radicali. </w:t>
      </w:r>
    </w:p>
    <w:p w:rsidR="00E60535" w:rsidRDefault="00E60535" w:rsidP="00E60535">
      <w:pPr>
        <w:spacing w:line="276" w:lineRule="auto"/>
        <w:jc w:val="both"/>
        <w:rPr>
          <w:rFonts w:ascii="Arial" w:hAnsi="Arial" w:cs="Arial"/>
        </w:rPr>
      </w:pPr>
    </w:p>
    <w:p w:rsidR="001F2A80" w:rsidRDefault="00E60535" w:rsidP="00E60535">
      <w:pPr>
        <w:spacing w:line="276" w:lineRule="auto"/>
        <w:jc w:val="both"/>
        <w:rPr>
          <w:rFonts w:ascii="Arial" w:hAnsi="Arial" w:cs="Arial"/>
        </w:rPr>
      </w:pPr>
      <w:r w:rsidRPr="006C4DC1">
        <w:rPr>
          <w:rFonts w:ascii="Arial" w:hAnsi="Arial" w:cs="Arial"/>
        </w:rPr>
        <w:t xml:space="preserve">L’Eni è impegnata anche in attività di esplorazione più a Sud, al largo delle coste di Angoche (Provincia di Nampula). </w:t>
      </w:r>
    </w:p>
    <w:p w:rsidR="001F2A80" w:rsidRDefault="001F2A80" w:rsidP="00E60535">
      <w:pPr>
        <w:spacing w:line="276" w:lineRule="auto"/>
        <w:jc w:val="both"/>
        <w:rPr>
          <w:rFonts w:ascii="Arial" w:hAnsi="Arial" w:cs="Arial"/>
        </w:rPr>
      </w:pPr>
    </w:p>
    <w:p w:rsidR="00E60535" w:rsidRDefault="00E60535" w:rsidP="00E60535">
      <w:pPr>
        <w:spacing w:line="276" w:lineRule="auto"/>
        <w:jc w:val="both"/>
        <w:rPr>
          <w:rFonts w:ascii="Arial" w:hAnsi="Arial" w:cs="Arial"/>
        </w:rPr>
      </w:pPr>
      <w:r w:rsidRPr="006C4DC1">
        <w:rPr>
          <w:rFonts w:ascii="Arial" w:hAnsi="Arial" w:cs="Arial"/>
        </w:rPr>
        <w:t xml:space="preserve">Una menzione particolare merita anche Saipem, che si è aggiudicata una commessa da 6 miliardi di dollari per la costruzione di un impianto di gas naturale liquefatto a Cabo Delgado, in joint venture con l’americana McDermott e la giapponese Chiyoda. </w:t>
      </w:r>
    </w:p>
    <w:p w:rsidR="006336F2" w:rsidRDefault="006336F2" w:rsidP="00E60535">
      <w:pPr>
        <w:spacing w:line="276" w:lineRule="auto"/>
        <w:jc w:val="both"/>
        <w:rPr>
          <w:rFonts w:ascii="Arial" w:hAnsi="Arial" w:cs="Arial"/>
        </w:rPr>
      </w:pPr>
    </w:p>
    <w:p w:rsidR="006336F2" w:rsidRPr="006C4DC1" w:rsidRDefault="006336F2" w:rsidP="00E60535">
      <w:pPr>
        <w:spacing w:line="276" w:lineRule="auto"/>
        <w:jc w:val="both"/>
        <w:rPr>
          <w:rFonts w:ascii="Arial" w:hAnsi="Arial" w:cs="Arial"/>
        </w:rPr>
      </w:pPr>
    </w:p>
    <w:p w:rsidR="00E60535" w:rsidRPr="00405639" w:rsidRDefault="00E60535" w:rsidP="00D25A3D">
      <w:pPr>
        <w:numPr>
          <w:ilvl w:val="0"/>
          <w:numId w:val="3"/>
        </w:numPr>
        <w:suppressAutoHyphens/>
        <w:spacing w:line="276" w:lineRule="auto"/>
        <w:jc w:val="both"/>
        <w:rPr>
          <w:rFonts w:ascii="Arial" w:hAnsi="Arial" w:cs="Arial"/>
          <w:b/>
        </w:rPr>
      </w:pPr>
      <w:r w:rsidRPr="00405639">
        <w:rPr>
          <w:rFonts w:ascii="Arial" w:hAnsi="Arial" w:cs="Arial"/>
          <w:b/>
        </w:rPr>
        <w:lastRenderedPageBreak/>
        <w:t>Punti di forza del Mozambico</w:t>
      </w:r>
    </w:p>
    <w:p w:rsidR="00E60535" w:rsidRPr="00405639" w:rsidRDefault="00E60535" w:rsidP="00D25A3D">
      <w:pPr>
        <w:autoSpaceDE w:val="0"/>
        <w:autoSpaceDN w:val="0"/>
        <w:adjustRightInd w:val="0"/>
        <w:spacing w:line="276" w:lineRule="auto"/>
        <w:rPr>
          <w:rFonts w:ascii="Arial" w:hAnsi="Arial" w:cs="Arial"/>
          <w:b/>
        </w:rPr>
      </w:pPr>
    </w:p>
    <w:p w:rsidR="00E60535" w:rsidRPr="00405639" w:rsidRDefault="00E60535" w:rsidP="00D25A3D">
      <w:pPr>
        <w:numPr>
          <w:ilvl w:val="0"/>
          <w:numId w:val="7"/>
        </w:numPr>
        <w:autoSpaceDE w:val="0"/>
        <w:autoSpaceDN w:val="0"/>
        <w:adjustRightInd w:val="0"/>
        <w:spacing w:line="276" w:lineRule="auto"/>
        <w:rPr>
          <w:rFonts w:ascii="Arial" w:hAnsi="Arial" w:cs="Arial"/>
          <w:iCs/>
          <w:lang w:eastAsia="pt-PT"/>
        </w:rPr>
      </w:pPr>
      <w:r w:rsidRPr="00405639">
        <w:rPr>
          <w:rFonts w:ascii="Arial" w:hAnsi="Arial" w:cs="Arial"/>
          <w:iCs/>
          <w:lang w:eastAsia="pt-PT"/>
        </w:rPr>
        <w:t>Prospettive di crescita elevata nel medio periodo</w:t>
      </w:r>
    </w:p>
    <w:p w:rsidR="00E60535" w:rsidRPr="00405639" w:rsidRDefault="00E60535" w:rsidP="00D25A3D">
      <w:pPr>
        <w:numPr>
          <w:ilvl w:val="0"/>
          <w:numId w:val="7"/>
        </w:numPr>
        <w:autoSpaceDE w:val="0"/>
        <w:autoSpaceDN w:val="0"/>
        <w:adjustRightInd w:val="0"/>
        <w:spacing w:line="276" w:lineRule="auto"/>
        <w:rPr>
          <w:rFonts w:ascii="Arial" w:hAnsi="Arial" w:cs="Arial"/>
          <w:iCs/>
          <w:lang w:eastAsia="pt-PT"/>
        </w:rPr>
      </w:pPr>
      <w:r w:rsidRPr="00405639">
        <w:rPr>
          <w:rFonts w:ascii="Arial" w:hAnsi="Arial" w:cs="Arial"/>
          <w:iCs/>
          <w:lang w:eastAsia="pt-PT"/>
        </w:rPr>
        <w:t>Grande potenziale Energetico (Gas e Carbone)</w:t>
      </w:r>
    </w:p>
    <w:p w:rsidR="00E60535" w:rsidRPr="00405639" w:rsidRDefault="00E60535" w:rsidP="00D25A3D">
      <w:pPr>
        <w:numPr>
          <w:ilvl w:val="0"/>
          <w:numId w:val="7"/>
        </w:numPr>
        <w:autoSpaceDE w:val="0"/>
        <w:autoSpaceDN w:val="0"/>
        <w:adjustRightInd w:val="0"/>
        <w:spacing w:line="276" w:lineRule="auto"/>
        <w:rPr>
          <w:rFonts w:ascii="Arial" w:hAnsi="Arial" w:cs="Arial"/>
          <w:iCs/>
          <w:lang w:eastAsia="pt-PT"/>
        </w:rPr>
      </w:pPr>
      <w:r w:rsidRPr="00405639">
        <w:rPr>
          <w:rFonts w:ascii="Arial" w:hAnsi="Arial" w:cs="Arial"/>
          <w:iCs/>
          <w:lang w:eastAsia="pt-PT"/>
        </w:rPr>
        <w:t>Punto di accesso per la Southern Africa Development Community (SADC)</w:t>
      </w:r>
    </w:p>
    <w:p w:rsidR="00435492" w:rsidRDefault="00E60535" w:rsidP="00435492">
      <w:pPr>
        <w:numPr>
          <w:ilvl w:val="0"/>
          <w:numId w:val="7"/>
        </w:numPr>
        <w:autoSpaceDE w:val="0"/>
        <w:autoSpaceDN w:val="0"/>
        <w:adjustRightInd w:val="0"/>
        <w:spacing w:line="276" w:lineRule="auto"/>
        <w:rPr>
          <w:rFonts w:ascii="Arial" w:hAnsi="Arial" w:cs="Arial"/>
          <w:iCs/>
          <w:lang w:eastAsia="pt-PT"/>
        </w:rPr>
      </w:pPr>
      <w:r w:rsidRPr="00405639">
        <w:rPr>
          <w:rFonts w:ascii="Arial" w:hAnsi="Arial" w:cs="Arial"/>
          <w:iCs/>
          <w:lang w:eastAsia="pt-PT"/>
        </w:rPr>
        <w:t>Ottima posizione logistica per Medio Oriente, India e Cina</w:t>
      </w:r>
    </w:p>
    <w:p w:rsidR="00E60535" w:rsidRPr="00435492" w:rsidRDefault="00E60535" w:rsidP="00435492">
      <w:pPr>
        <w:numPr>
          <w:ilvl w:val="0"/>
          <w:numId w:val="7"/>
        </w:numPr>
        <w:autoSpaceDE w:val="0"/>
        <w:autoSpaceDN w:val="0"/>
        <w:adjustRightInd w:val="0"/>
        <w:spacing w:line="276" w:lineRule="auto"/>
        <w:rPr>
          <w:rFonts w:ascii="Arial" w:hAnsi="Arial" w:cs="Arial"/>
          <w:iCs/>
          <w:lang w:eastAsia="pt-PT"/>
        </w:rPr>
      </w:pPr>
      <w:r w:rsidRPr="00435492">
        <w:rPr>
          <w:rFonts w:ascii="Arial" w:hAnsi="Arial" w:cs="Arial"/>
          <w:iCs/>
          <w:lang w:eastAsia="pt-PT"/>
        </w:rPr>
        <w:t>Il Mozambico rappresenta lo sbocco sull'Oceano Indiano dei paesi limitrofi (Malawi,</w:t>
      </w:r>
      <w:r w:rsidR="00435492" w:rsidRPr="00435492">
        <w:rPr>
          <w:rFonts w:ascii="Arial" w:hAnsi="Arial" w:cs="Arial"/>
          <w:iCs/>
          <w:lang w:eastAsia="pt-PT"/>
        </w:rPr>
        <w:t xml:space="preserve"> e</w:t>
      </w:r>
      <w:r w:rsidRPr="00435492">
        <w:rPr>
          <w:rFonts w:ascii="Arial" w:hAnsi="Arial" w:cs="Arial"/>
          <w:iCs/>
          <w:lang w:eastAsia="pt-PT"/>
        </w:rPr>
        <w:t>Swa</w:t>
      </w:r>
      <w:r w:rsidR="00435492" w:rsidRPr="00435492">
        <w:rPr>
          <w:rFonts w:ascii="Arial" w:hAnsi="Arial" w:cs="Arial"/>
          <w:iCs/>
          <w:lang w:eastAsia="pt-PT"/>
        </w:rPr>
        <w:t>tini</w:t>
      </w:r>
      <w:r w:rsidRPr="00435492">
        <w:rPr>
          <w:rFonts w:ascii="Arial" w:hAnsi="Arial" w:cs="Arial"/>
          <w:iCs/>
          <w:lang w:eastAsia="pt-PT"/>
        </w:rPr>
        <w:t>, Zambia e Zimbabwe)</w:t>
      </w:r>
    </w:p>
    <w:p w:rsidR="00435492" w:rsidRDefault="00E60535" w:rsidP="00435492">
      <w:pPr>
        <w:numPr>
          <w:ilvl w:val="0"/>
          <w:numId w:val="8"/>
        </w:numPr>
        <w:autoSpaceDE w:val="0"/>
        <w:autoSpaceDN w:val="0"/>
        <w:adjustRightInd w:val="0"/>
        <w:spacing w:line="276" w:lineRule="auto"/>
        <w:rPr>
          <w:rFonts w:ascii="Arial" w:hAnsi="Arial" w:cs="Arial"/>
          <w:iCs/>
          <w:lang w:eastAsia="pt-PT"/>
        </w:rPr>
      </w:pPr>
      <w:r w:rsidRPr="00405639">
        <w:rPr>
          <w:rFonts w:ascii="Arial" w:hAnsi="Arial" w:cs="Arial"/>
          <w:iCs/>
          <w:lang w:eastAsia="pt-PT"/>
        </w:rPr>
        <w:t>Sistema fiscale favorevole a commercio e investimenti internazionali</w:t>
      </w:r>
    </w:p>
    <w:p w:rsidR="00E60535" w:rsidRPr="00435492" w:rsidRDefault="00E60535" w:rsidP="00435492">
      <w:pPr>
        <w:numPr>
          <w:ilvl w:val="0"/>
          <w:numId w:val="8"/>
        </w:numPr>
        <w:autoSpaceDE w:val="0"/>
        <w:autoSpaceDN w:val="0"/>
        <w:adjustRightInd w:val="0"/>
        <w:spacing w:line="276" w:lineRule="auto"/>
        <w:rPr>
          <w:rFonts w:ascii="Arial" w:hAnsi="Arial" w:cs="Arial"/>
          <w:iCs/>
          <w:lang w:eastAsia="pt-PT"/>
        </w:rPr>
      </w:pPr>
      <w:r w:rsidRPr="00435492">
        <w:rPr>
          <w:rFonts w:ascii="Arial" w:hAnsi="Arial" w:cs="Arial"/>
          <w:iCs/>
          <w:lang w:eastAsia="pt-PT"/>
        </w:rPr>
        <w:t>La partecipazione straniera è ammessa al 100%, Utili, dividendi e interessi sono</w:t>
      </w:r>
      <w:r w:rsidR="00435492" w:rsidRPr="00435492">
        <w:rPr>
          <w:rFonts w:ascii="Arial" w:hAnsi="Arial" w:cs="Arial"/>
          <w:iCs/>
          <w:lang w:eastAsia="pt-PT"/>
        </w:rPr>
        <w:t xml:space="preserve"> </w:t>
      </w:r>
      <w:r w:rsidRPr="00435492">
        <w:rPr>
          <w:rFonts w:ascii="Arial" w:hAnsi="Arial" w:cs="Arial"/>
          <w:iCs/>
          <w:lang w:eastAsia="pt-PT"/>
        </w:rPr>
        <w:t>rimpatriabili senza particolari restrizioni, vi sono due accordi bilaterali per la</w:t>
      </w:r>
      <w:r w:rsidR="00435492" w:rsidRPr="00435492">
        <w:rPr>
          <w:rFonts w:ascii="Arial" w:hAnsi="Arial" w:cs="Arial"/>
          <w:iCs/>
          <w:lang w:eastAsia="pt-PT"/>
        </w:rPr>
        <w:t xml:space="preserve"> </w:t>
      </w:r>
      <w:r w:rsidRPr="00435492">
        <w:rPr>
          <w:rFonts w:ascii="Arial" w:hAnsi="Arial" w:cs="Arial"/>
          <w:iCs/>
          <w:lang w:eastAsia="pt-PT"/>
        </w:rPr>
        <w:t>protezione degli investimenti e per la doppia imposizione</w:t>
      </w:r>
    </w:p>
    <w:p w:rsidR="00E60535" w:rsidRPr="00435492" w:rsidRDefault="00E60535" w:rsidP="00435492">
      <w:pPr>
        <w:numPr>
          <w:ilvl w:val="0"/>
          <w:numId w:val="9"/>
        </w:numPr>
        <w:autoSpaceDE w:val="0"/>
        <w:autoSpaceDN w:val="0"/>
        <w:adjustRightInd w:val="0"/>
        <w:spacing w:line="276" w:lineRule="auto"/>
        <w:rPr>
          <w:rFonts w:ascii="Arial" w:hAnsi="Arial" w:cs="Arial"/>
          <w:iCs/>
          <w:lang w:eastAsia="pt-PT"/>
        </w:rPr>
      </w:pPr>
      <w:r w:rsidRPr="00405639">
        <w:rPr>
          <w:rFonts w:ascii="Arial" w:hAnsi="Arial" w:cs="Arial"/>
          <w:iCs/>
          <w:lang w:eastAsia="pt-PT"/>
        </w:rPr>
        <w:t>Presenza di un sistema articolato di Zone Industriali e Zone Economiche Speciali,</w:t>
      </w:r>
      <w:r w:rsidR="00435492">
        <w:rPr>
          <w:rFonts w:ascii="Arial" w:hAnsi="Arial" w:cs="Arial"/>
          <w:iCs/>
          <w:lang w:eastAsia="pt-PT"/>
        </w:rPr>
        <w:t xml:space="preserve"> </w:t>
      </w:r>
      <w:r w:rsidRPr="00435492">
        <w:rPr>
          <w:rFonts w:ascii="Arial" w:hAnsi="Arial" w:cs="Arial"/>
          <w:iCs/>
          <w:lang w:eastAsia="pt-PT"/>
        </w:rPr>
        <w:t>con incentivi fiscali e amministrativi</w:t>
      </w:r>
    </w:p>
    <w:p w:rsidR="00E60535" w:rsidRPr="009F2E5D" w:rsidRDefault="00E60535" w:rsidP="00D25A3D">
      <w:pPr>
        <w:pStyle w:val="ListParagraph"/>
        <w:numPr>
          <w:ilvl w:val="0"/>
          <w:numId w:val="9"/>
        </w:numPr>
        <w:autoSpaceDE w:val="0"/>
        <w:autoSpaceDN w:val="0"/>
        <w:adjustRightInd w:val="0"/>
        <w:spacing w:line="276" w:lineRule="auto"/>
        <w:rPr>
          <w:rFonts w:ascii="Arial" w:hAnsi="Arial" w:cs="Arial"/>
          <w:iCs/>
          <w:lang w:eastAsia="pt-PT"/>
        </w:rPr>
      </w:pPr>
      <w:r>
        <w:rPr>
          <w:rFonts w:ascii="Arial" w:hAnsi="Arial" w:cs="Arial"/>
          <w:iCs/>
          <w:lang w:eastAsia="pt-PT"/>
        </w:rPr>
        <w:t>1</w:t>
      </w:r>
      <w:r w:rsidRPr="009F2E5D">
        <w:rPr>
          <w:rFonts w:ascii="Arial" w:hAnsi="Arial" w:cs="Arial"/>
          <w:iCs/>
          <w:lang w:eastAsia="pt-PT"/>
        </w:rPr>
        <w:t>38° posto su 190 Paesi nell’edizione 2020 dell’indice Doing Business della Banca Mondiale</w:t>
      </w:r>
      <w:r>
        <w:rPr>
          <w:rFonts w:ascii="Arial" w:hAnsi="Arial" w:cs="Arial"/>
          <w:iCs/>
          <w:lang w:eastAsia="pt-PT"/>
        </w:rPr>
        <w:t>, poco al di sopra della media dei Paesi dell’Africa Subsahariana (21° posto su 48 Paesi).</w:t>
      </w:r>
    </w:p>
    <w:p w:rsidR="00E60535" w:rsidRDefault="00E60535" w:rsidP="00D25A3D">
      <w:pPr>
        <w:autoSpaceDE w:val="0"/>
        <w:autoSpaceDN w:val="0"/>
        <w:adjustRightInd w:val="0"/>
        <w:spacing w:line="276" w:lineRule="auto"/>
        <w:rPr>
          <w:rFonts w:ascii="Arial" w:hAnsi="Arial" w:cs="Arial"/>
          <w:iCs/>
          <w:lang w:eastAsia="pt-PT"/>
        </w:rPr>
      </w:pPr>
    </w:p>
    <w:p w:rsidR="00E60535" w:rsidRPr="00405639" w:rsidRDefault="00E60535" w:rsidP="00D25A3D">
      <w:pPr>
        <w:autoSpaceDE w:val="0"/>
        <w:autoSpaceDN w:val="0"/>
        <w:adjustRightInd w:val="0"/>
        <w:spacing w:line="276" w:lineRule="auto"/>
        <w:rPr>
          <w:rFonts w:ascii="Arial" w:hAnsi="Arial" w:cs="Arial"/>
          <w:iCs/>
          <w:lang w:eastAsia="pt-PT"/>
        </w:rPr>
      </w:pPr>
    </w:p>
    <w:p w:rsidR="00E60535" w:rsidRPr="0055158B" w:rsidRDefault="00E60535" w:rsidP="00D25A3D">
      <w:pPr>
        <w:numPr>
          <w:ilvl w:val="0"/>
          <w:numId w:val="3"/>
        </w:numPr>
        <w:autoSpaceDE w:val="0"/>
        <w:autoSpaceDN w:val="0"/>
        <w:adjustRightInd w:val="0"/>
        <w:spacing w:line="276" w:lineRule="auto"/>
        <w:rPr>
          <w:rFonts w:ascii="Arial" w:hAnsi="Arial" w:cs="Arial"/>
          <w:b/>
          <w:iCs/>
          <w:lang w:eastAsia="pt-PT"/>
        </w:rPr>
      </w:pPr>
      <w:r w:rsidRPr="00405639">
        <w:rPr>
          <w:rFonts w:ascii="Arial" w:hAnsi="Arial" w:cs="Arial"/>
          <w:b/>
          <w:iCs/>
          <w:lang w:eastAsia="pt-PT"/>
        </w:rPr>
        <w:t>Debolezze del Mozambico</w:t>
      </w:r>
    </w:p>
    <w:p w:rsidR="00E60535" w:rsidRPr="00405639" w:rsidRDefault="00E60535" w:rsidP="00D25A3D">
      <w:pPr>
        <w:autoSpaceDE w:val="0"/>
        <w:autoSpaceDN w:val="0"/>
        <w:adjustRightInd w:val="0"/>
        <w:spacing w:line="276" w:lineRule="auto"/>
        <w:rPr>
          <w:rFonts w:ascii="Arial" w:hAnsi="Arial" w:cs="Arial"/>
          <w:lang w:eastAsia="pt-PT"/>
        </w:rPr>
      </w:pPr>
    </w:p>
    <w:p w:rsidR="00E60535" w:rsidRPr="00405639" w:rsidRDefault="00E60535" w:rsidP="00D25A3D">
      <w:pPr>
        <w:numPr>
          <w:ilvl w:val="0"/>
          <w:numId w:val="9"/>
        </w:numPr>
        <w:autoSpaceDE w:val="0"/>
        <w:autoSpaceDN w:val="0"/>
        <w:adjustRightInd w:val="0"/>
        <w:spacing w:line="276" w:lineRule="auto"/>
        <w:rPr>
          <w:rFonts w:ascii="Arial" w:hAnsi="Arial" w:cs="Arial"/>
          <w:iCs/>
          <w:lang w:eastAsia="pt-PT"/>
        </w:rPr>
      </w:pPr>
      <w:r w:rsidRPr="00405639">
        <w:rPr>
          <w:rFonts w:ascii="Arial" w:hAnsi="Arial" w:cs="Arial"/>
          <w:iCs/>
          <w:u w:val="single"/>
          <w:lang w:eastAsia="pt-PT"/>
        </w:rPr>
        <w:t>Dogane</w:t>
      </w:r>
      <w:r w:rsidRPr="00405639">
        <w:rPr>
          <w:rFonts w:ascii="Arial" w:hAnsi="Arial" w:cs="Arial"/>
          <w:iCs/>
          <w:lang w:eastAsia="pt-PT"/>
        </w:rPr>
        <w:t>: Procedure burocratiche e documentali doganali, lunghe e complesse</w:t>
      </w:r>
      <w:r>
        <w:rPr>
          <w:rFonts w:ascii="Arial" w:hAnsi="Arial" w:cs="Arial"/>
          <w:iCs/>
          <w:lang w:eastAsia="pt-PT"/>
        </w:rPr>
        <w:t>.</w:t>
      </w:r>
    </w:p>
    <w:p w:rsidR="00E60535" w:rsidRPr="00767178" w:rsidRDefault="00E60535" w:rsidP="00D25A3D">
      <w:pPr>
        <w:numPr>
          <w:ilvl w:val="0"/>
          <w:numId w:val="9"/>
        </w:numPr>
        <w:autoSpaceDE w:val="0"/>
        <w:autoSpaceDN w:val="0"/>
        <w:adjustRightInd w:val="0"/>
        <w:spacing w:line="276" w:lineRule="auto"/>
        <w:rPr>
          <w:rFonts w:ascii="Arial" w:hAnsi="Arial" w:cs="Arial"/>
          <w:lang w:eastAsia="pt-PT"/>
        </w:rPr>
      </w:pPr>
      <w:r w:rsidRPr="00767178">
        <w:rPr>
          <w:rFonts w:ascii="Arial" w:hAnsi="Arial" w:cs="Arial"/>
          <w:iCs/>
          <w:u w:val="single"/>
          <w:lang w:eastAsia="pt-PT"/>
        </w:rPr>
        <w:t>Standard e certificazioni</w:t>
      </w:r>
      <w:r w:rsidRPr="00767178">
        <w:rPr>
          <w:rFonts w:ascii="Arial" w:hAnsi="Arial" w:cs="Arial"/>
          <w:iCs/>
          <w:lang w:eastAsia="pt-PT"/>
        </w:rPr>
        <w:t>: l’ente di certificazione del Mozambico è l’</w:t>
      </w:r>
      <w:r w:rsidRPr="00767178">
        <w:rPr>
          <w:rFonts w:ascii="Arial" w:hAnsi="Arial" w:cs="Arial"/>
          <w:shd w:val="clear" w:color="auto" w:fill="FFFFFF"/>
        </w:rPr>
        <w:t>Instituto Nacional de Normalização e Qualidade (</w:t>
      </w:r>
      <w:r w:rsidRPr="00767178">
        <w:rPr>
          <w:rStyle w:val="Emphasis"/>
          <w:rFonts w:ascii="Arial" w:hAnsi="Arial" w:cs="Arial"/>
          <w:bCs/>
          <w:shd w:val="clear" w:color="auto" w:fill="FFFFFF"/>
        </w:rPr>
        <w:t>INNOQ</w:t>
      </w:r>
      <w:r w:rsidRPr="00767178">
        <w:rPr>
          <w:rFonts w:ascii="Arial" w:hAnsi="Arial" w:cs="Arial"/>
          <w:shd w:val="clear" w:color="auto" w:fill="FFFFFF"/>
        </w:rPr>
        <w:t>)</w:t>
      </w:r>
      <w:r w:rsidRPr="00767178">
        <w:rPr>
          <w:rFonts w:ascii="Arial" w:hAnsi="Arial" w:cs="Arial"/>
          <w:iCs/>
          <w:lang w:eastAsia="pt-PT"/>
        </w:rPr>
        <w:t>. Qualora l’INNOQ non sia in grado di fornire la certificazione richiesta è necessario rivolgersi ad enti specializzati esteri (eventualmente segnalati dall’INNOQ stesso)</w:t>
      </w:r>
    </w:p>
    <w:p w:rsidR="00E60535" w:rsidRPr="00767178" w:rsidRDefault="00E60535" w:rsidP="00D25A3D">
      <w:pPr>
        <w:numPr>
          <w:ilvl w:val="0"/>
          <w:numId w:val="10"/>
        </w:numPr>
        <w:autoSpaceDE w:val="0"/>
        <w:autoSpaceDN w:val="0"/>
        <w:adjustRightInd w:val="0"/>
        <w:spacing w:line="276" w:lineRule="auto"/>
        <w:rPr>
          <w:rFonts w:ascii="Arial" w:hAnsi="Arial" w:cs="Arial"/>
          <w:iCs/>
          <w:lang w:eastAsia="pt-PT"/>
        </w:rPr>
      </w:pPr>
      <w:r w:rsidRPr="00405639">
        <w:rPr>
          <w:rFonts w:ascii="Arial" w:hAnsi="Arial" w:cs="Arial"/>
          <w:u w:val="single"/>
          <w:lang w:eastAsia="pt-PT"/>
        </w:rPr>
        <w:t>E</w:t>
      </w:r>
      <w:r w:rsidRPr="00405639">
        <w:rPr>
          <w:rFonts w:ascii="Arial" w:hAnsi="Arial" w:cs="Arial"/>
          <w:iCs/>
          <w:u w:val="single"/>
          <w:lang w:eastAsia="pt-PT"/>
        </w:rPr>
        <w:t>tichettatura</w:t>
      </w:r>
      <w:r>
        <w:rPr>
          <w:rFonts w:ascii="Arial" w:hAnsi="Arial" w:cs="Arial"/>
          <w:iCs/>
          <w:lang w:eastAsia="pt-PT"/>
        </w:rPr>
        <w:t>:</w:t>
      </w:r>
      <w:r w:rsidRPr="00405639">
        <w:rPr>
          <w:rFonts w:ascii="Arial" w:hAnsi="Arial" w:cs="Arial"/>
          <w:iCs/>
          <w:lang w:eastAsia="pt-PT"/>
        </w:rPr>
        <w:t xml:space="preserve"> l’inasprimento dei controlli alle dogane riguardo alla normativa sull’etichettatura dei prodotti, che prevede la stampa in lingua portoghese delle informazioni obbligatorie sulla confezione dei prodotti (e non l’applicazione di un’etichetta adesiva), sta rendendo problematica la procedura di sdoganamento, in </w:t>
      </w:r>
      <w:r w:rsidRPr="00767178">
        <w:rPr>
          <w:rFonts w:ascii="Arial" w:hAnsi="Arial" w:cs="Arial"/>
          <w:iCs/>
          <w:lang w:eastAsia="pt-PT"/>
        </w:rPr>
        <w:t>particolare nel settore dei prodotti alimentari</w:t>
      </w:r>
    </w:p>
    <w:p w:rsidR="00E60535" w:rsidRPr="00767178" w:rsidRDefault="00E60535" w:rsidP="00D25A3D">
      <w:pPr>
        <w:numPr>
          <w:ilvl w:val="0"/>
          <w:numId w:val="10"/>
        </w:numPr>
        <w:autoSpaceDE w:val="0"/>
        <w:autoSpaceDN w:val="0"/>
        <w:adjustRightInd w:val="0"/>
        <w:spacing w:line="276" w:lineRule="auto"/>
        <w:rPr>
          <w:rFonts w:ascii="Arial" w:hAnsi="Arial" w:cs="Arial"/>
          <w:iCs/>
          <w:lang w:eastAsia="pt-PT"/>
        </w:rPr>
      </w:pPr>
      <w:r w:rsidRPr="00767178">
        <w:rPr>
          <w:rFonts w:ascii="Arial" w:hAnsi="Arial" w:cs="Arial"/>
          <w:u w:val="single"/>
          <w:lang w:eastAsia="pt-PT"/>
        </w:rPr>
        <w:t>Bollo</w:t>
      </w:r>
      <w:r w:rsidRPr="00767178">
        <w:rPr>
          <w:rFonts w:ascii="Arial" w:hAnsi="Arial" w:cs="Arial"/>
          <w:iCs/>
          <w:lang w:eastAsia="pt-PT"/>
        </w:rPr>
        <w:t>: per l’importazione di prodotti alcolici e dei tabacchi manifatturati è necessario apporre previamente un bollo su ogni confezione/bottiglia</w:t>
      </w:r>
    </w:p>
    <w:p w:rsidR="00E60535" w:rsidRDefault="00E60535" w:rsidP="00D25A3D">
      <w:pPr>
        <w:numPr>
          <w:ilvl w:val="0"/>
          <w:numId w:val="11"/>
        </w:numPr>
        <w:autoSpaceDE w:val="0"/>
        <w:autoSpaceDN w:val="0"/>
        <w:adjustRightInd w:val="0"/>
        <w:spacing w:line="276" w:lineRule="auto"/>
        <w:rPr>
          <w:rFonts w:ascii="Arial" w:hAnsi="Arial" w:cs="Arial"/>
          <w:iCs/>
          <w:lang w:eastAsia="pt-PT"/>
        </w:rPr>
      </w:pPr>
      <w:r w:rsidRPr="00405639">
        <w:rPr>
          <w:rFonts w:ascii="Arial" w:hAnsi="Arial" w:cs="Arial"/>
          <w:iCs/>
          <w:u w:val="single"/>
          <w:lang w:eastAsia="pt-PT"/>
        </w:rPr>
        <w:t>La corruzione</w:t>
      </w:r>
      <w:r>
        <w:rPr>
          <w:rFonts w:ascii="Arial" w:hAnsi="Arial" w:cs="Arial"/>
          <w:iCs/>
          <w:lang w:eastAsia="pt-PT"/>
        </w:rPr>
        <w:t xml:space="preserve"> </w:t>
      </w:r>
      <w:r w:rsidRPr="00405639">
        <w:rPr>
          <w:rFonts w:ascii="Arial" w:hAnsi="Arial" w:cs="Arial"/>
          <w:iCs/>
          <w:lang w:eastAsia="pt-PT"/>
        </w:rPr>
        <w:t>è un problema molto serio e, nonostante gli sforzi del Governo per combatterla, è molto diffusa soprat</w:t>
      </w:r>
      <w:r>
        <w:rPr>
          <w:rFonts w:ascii="Arial" w:hAnsi="Arial" w:cs="Arial"/>
          <w:iCs/>
          <w:lang w:eastAsia="pt-PT"/>
        </w:rPr>
        <w:t>tutto tra i pubblici funzionari</w:t>
      </w:r>
    </w:p>
    <w:p w:rsidR="00E60535" w:rsidRDefault="00E60535" w:rsidP="00D25A3D">
      <w:pPr>
        <w:numPr>
          <w:ilvl w:val="0"/>
          <w:numId w:val="11"/>
        </w:numPr>
        <w:autoSpaceDE w:val="0"/>
        <w:autoSpaceDN w:val="0"/>
        <w:adjustRightInd w:val="0"/>
        <w:spacing w:line="276" w:lineRule="auto"/>
        <w:rPr>
          <w:rFonts w:ascii="Arial" w:hAnsi="Arial" w:cs="Arial"/>
          <w:iCs/>
          <w:lang w:eastAsia="pt-PT"/>
        </w:rPr>
      </w:pPr>
      <w:r w:rsidRPr="0055158B">
        <w:rPr>
          <w:rFonts w:ascii="Arial" w:hAnsi="Arial" w:cs="Arial"/>
          <w:iCs/>
          <w:lang w:eastAsia="pt-PT"/>
        </w:rPr>
        <w:t>Scarso livello delle risorse umane</w:t>
      </w:r>
      <w:r>
        <w:rPr>
          <w:rFonts w:ascii="Arial" w:hAnsi="Arial" w:cs="Arial"/>
          <w:iCs/>
          <w:lang w:eastAsia="pt-PT"/>
        </w:rPr>
        <w:t xml:space="preserve"> e la rigidità del mercato del lavoro</w:t>
      </w:r>
    </w:p>
    <w:p w:rsidR="00E60535" w:rsidRDefault="00E60535" w:rsidP="00D25A3D">
      <w:pPr>
        <w:numPr>
          <w:ilvl w:val="0"/>
          <w:numId w:val="11"/>
        </w:numPr>
        <w:autoSpaceDE w:val="0"/>
        <w:autoSpaceDN w:val="0"/>
        <w:adjustRightInd w:val="0"/>
        <w:spacing w:line="276" w:lineRule="auto"/>
        <w:rPr>
          <w:rFonts w:ascii="Arial" w:hAnsi="Arial" w:cs="Arial"/>
          <w:iCs/>
          <w:lang w:eastAsia="pt-PT"/>
        </w:rPr>
      </w:pPr>
      <w:r w:rsidRPr="0055158B">
        <w:rPr>
          <w:rFonts w:ascii="Arial" w:hAnsi="Arial" w:cs="Arial"/>
          <w:iCs/>
          <w:lang w:eastAsia="pt-PT"/>
        </w:rPr>
        <w:t>Difficoltà</w:t>
      </w:r>
      <w:r>
        <w:rPr>
          <w:rFonts w:ascii="Arial" w:hAnsi="Arial" w:cs="Arial"/>
          <w:iCs/>
          <w:lang w:eastAsia="pt-PT"/>
        </w:rPr>
        <w:t xml:space="preserve"> relative all’accesso all’energia e al credito</w:t>
      </w:r>
    </w:p>
    <w:p w:rsidR="00E60535" w:rsidRDefault="00E60535" w:rsidP="00D25A3D">
      <w:pPr>
        <w:numPr>
          <w:ilvl w:val="0"/>
          <w:numId w:val="11"/>
        </w:numPr>
        <w:autoSpaceDE w:val="0"/>
        <w:autoSpaceDN w:val="0"/>
        <w:adjustRightInd w:val="0"/>
        <w:spacing w:line="276" w:lineRule="auto"/>
        <w:rPr>
          <w:rFonts w:ascii="Arial" w:hAnsi="Arial" w:cs="Arial"/>
          <w:iCs/>
          <w:lang w:eastAsia="pt-PT"/>
        </w:rPr>
      </w:pPr>
      <w:r w:rsidRPr="0055158B">
        <w:rPr>
          <w:rFonts w:ascii="Arial" w:hAnsi="Arial" w:cs="Arial"/>
          <w:iCs/>
          <w:lang w:eastAsia="pt-PT"/>
        </w:rPr>
        <w:lastRenderedPageBreak/>
        <w:t>Carenza</w:t>
      </w:r>
      <w:r>
        <w:rPr>
          <w:rFonts w:ascii="Arial" w:hAnsi="Arial" w:cs="Arial"/>
          <w:iCs/>
          <w:lang w:eastAsia="pt-PT"/>
        </w:rPr>
        <w:t xml:space="preserve"> di infrastrutture</w:t>
      </w:r>
    </w:p>
    <w:p w:rsidR="00E60535" w:rsidRPr="0055158B" w:rsidRDefault="00E60535" w:rsidP="00D25A3D">
      <w:pPr>
        <w:numPr>
          <w:ilvl w:val="0"/>
          <w:numId w:val="11"/>
        </w:numPr>
        <w:autoSpaceDE w:val="0"/>
        <w:autoSpaceDN w:val="0"/>
        <w:adjustRightInd w:val="0"/>
        <w:spacing w:line="276" w:lineRule="auto"/>
        <w:rPr>
          <w:rFonts w:ascii="Arial" w:hAnsi="Arial" w:cs="Arial"/>
          <w:iCs/>
          <w:lang w:eastAsia="pt-PT"/>
        </w:rPr>
      </w:pPr>
      <w:r w:rsidRPr="0055158B">
        <w:rPr>
          <w:rFonts w:ascii="Arial" w:hAnsi="Arial" w:cs="Arial"/>
          <w:iCs/>
          <w:lang w:eastAsia="pt-PT"/>
        </w:rPr>
        <w:t>Mancata esecuzione dei contratti</w:t>
      </w:r>
    </w:p>
    <w:p w:rsidR="00E60535" w:rsidRPr="00405639" w:rsidRDefault="00E60535" w:rsidP="00D25A3D">
      <w:pPr>
        <w:autoSpaceDE w:val="0"/>
        <w:autoSpaceDN w:val="0"/>
        <w:adjustRightInd w:val="0"/>
        <w:spacing w:line="276" w:lineRule="auto"/>
        <w:rPr>
          <w:rFonts w:ascii="Arial" w:hAnsi="Arial" w:cs="Arial"/>
          <w:b/>
          <w:bCs/>
          <w:lang w:eastAsia="pt-PT"/>
        </w:rPr>
      </w:pPr>
    </w:p>
    <w:p w:rsidR="00E60535" w:rsidRDefault="00E60535" w:rsidP="00D25A3D">
      <w:pPr>
        <w:numPr>
          <w:ilvl w:val="0"/>
          <w:numId w:val="3"/>
        </w:numPr>
        <w:autoSpaceDE w:val="0"/>
        <w:autoSpaceDN w:val="0"/>
        <w:adjustRightInd w:val="0"/>
        <w:spacing w:line="276" w:lineRule="auto"/>
        <w:rPr>
          <w:rFonts w:ascii="Arial" w:hAnsi="Arial" w:cs="Arial"/>
          <w:b/>
          <w:bCs/>
          <w:lang w:eastAsia="pt-PT"/>
        </w:rPr>
      </w:pPr>
      <w:r>
        <w:rPr>
          <w:rFonts w:ascii="Arial" w:hAnsi="Arial" w:cs="Arial"/>
          <w:b/>
          <w:bCs/>
          <w:lang w:eastAsia="pt-PT"/>
        </w:rPr>
        <w:t>Opportunità di export</w:t>
      </w:r>
    </w:p>
    <w:p w:rsidR="00E60535" w:rsidRDefault="00E60535" w:rsidP="00D25A3D">
      <w:pPr>
        <w:autoSpaceDE w:val="0"/>
        <w:autoSpaceDN w:val="0"/>
        <w:adjustRightInd w:val="0"/>
        <w:spacing w:line="276" w:lineRule="auto"/>
        <w:ind w:left="720"/>
        <w:rPr>
          <w:rFonts w:ascii="Arial" w:hAnsi="Arial" w:cs="Arial"/>
          <w:b/>
          <w:bCs/>
          <w:lang w:eastAsia="pt-PT"/>
        </w:rPr>
      </w:pPr>
    </w:p>
    <w:p w:rsidR="00E60535" w:rsidRPr="00405639" w:rsidRDefault="00E60535" w:rsidP="00D25A3D">
      <w:pPr>
        <w:numPr>
          <w:ilvl w:val="0"/>
          <w:numId w:val="11"/>
        </w:numPr>
        <w:autoSpaceDE w:val="0"/>
        <w:autoSpaceDN w:val="0"/>
        <w:adjustRightInd w:val="0"/>
        <w:spacing w:line="276" w:lineRule="auto"/>
        <w:rPr>
          <w:rFonts w:ascii="Arial" w:hAnsi="Arial" w:cs="Arial"/>
          <w:b/>
          <w:bCs/>
          <w:lang w:eastAsia="pt-PT"/>
        </w:rPr>
      </w:pPr>
      <w:r w:rsidRPr="003E1DA8">
        <w:rPr>
          <w:rFonts w:ascii="Arial" w:hAnsi="Arial" w:cs="Arial"/>
          <w:iCs/>
          <w:u w:val="single"/>
          <w:lang w:eastAsia="pt-PT"/>
        </w:rPr>
        <w:t>Prodotti chimici</w:t>
      </w:r>
      <w:r>
        <w:rPr>
          <w:rFonts w:ascii="Arial" w:hAnsi="Arial" w:cs="Arial"/>
          <w:iCs/>
          <w:lang w:eastAsia="pt-PT"/>
        </w:rPr>
        <w:t>,</w:t>
      </w:r>
      <w:r w:rsidRPr="00405639">
        <w:rPr>
          <w:rFonts w:ascii="Arial" w:hAnsi="Arial" w:cs="Arial"/>
          <w:iCs/>
          <w:lang w:eastAsia="pt-PT"/>
        </w:rPr>
        <w:t xml:space="preserve"> in particolare fertilizzanti</w:t>
      </w:r>
    </w:p>
    <w:p w:rsidR="00E60535" w:rsidRPr="00405639" w:rsidRDefault="00E60535" w:rsidP="00D25A3D">
      <w:pPr>
        <w:numPr>
          <w:ilvl w:val="0"/>
          <w:numId w:val="11"/>
        </w:numPr>
        <w:autoSpaceDE w:val="0"/>
        <w:autoSpaceDN w:val="0"/>
        <w:adjustRightInd w:val="0"/>
        <w:spacing w:line="276" w:lineRule="auto"/>
        <w:rPr>
          <w:rFonts w:ascii="Arial" w:hAnsi="Arial" w:cs="Arial"/>
          <w:b/>
          <w:bCs/>
          <w:lang w:eastAsia="pt-PT"/>
        </w:rPr>
      </w:pPr>
      <w:r w:rsidRPr="003E1DA8">
        <w:rPr>
          <w:rFonts w:ascii="Arial" w:hAnsi="Arial" w:cs="Arial"/>
          <w:iCs/>
          <w:u w:val="single"/>
          <w:lang w:eastAsia="pt-PT"/>
        </w:rPr>
        <w:t>Energia:</w:t>
      </w:r>
      <w:r w:rsidRPr="00405639">
        <w:rPr>
          <w:rFonts w:ascii="Arial" w:hAnsi="Arial" w:cs="Arial"/>
          <w:iCs/>
          <w:lang w:eastAsia="pt-PT"/>
        </w:rPr>
        <w:t xml:space="preserve"> generatori, trasformatori, stabilizzatori di corrente</w:t>
      </w:r>
    </w:p>
    <w:p w:rsidR="00E60535" w:rsidRPr="00405639" w:rsidRDefault="00E60535" w:rsidP="00D25A3D">
      <w:pPr>
        <w:numPr>
          <w:ilvl w:val="0"/>
          <w:numId w:val="11"/>
        </w:numPr>
        <w:autoSpaceDE w:val="0"/>
        <w:autoSpaceDN w:val="0"/>
        <w:adjustRightInd w:val="0"/>
        <w:spacing w:line="276" w:lineRule="auto"/>
        <w:rPr>
          <w:rFonts w:ascii="Arial" w:hAnsi="Arial" w:cs="Arial"/>
          <w:b/>
          <w:bCs/>
          <w:lang w:eastAsia="pt-PT"/>
        </w:rPr>
      </w:pPr>
      <w:r w:rsidRPr="003E1DA8">
        <w:rPr>
          <w:rFonts w:ascii="Arial" w:hAnsi="Arial" w:cs="Arial"/>
          <w:iCs/>
          <w:u w:val="single"/>
          <w:lang w:eastAsia="pt-PT"/>
        </w:rPr>
        <w:t>Macchinari e apparecchiatur</w:t>
      </w:r>
      <w:r w:rsidRPr="009F1C4C">
        <w:rPr>
          <w:rFonts w:ascii="Arial" w:hAnsi="Arial" w:cs="Arial"/>
          <w:iCs/>
          <w:u w:val="single"/>
          <w:lang w:eastAsia="pt-PT"/>
        </w:rPr>
        <w:t>e</w:t>
      </w:r>
      <w:r w:rsidRPr="0051431B">
        <w:rPr>
          <w:rFonts w:ascii="Arial" w:hAnsi="Arial" w:cs="Arial"/>
          <w:iCs/>
          <w:lang w:eastAsia="pt-PT"/>
        </w:rPr>
        <w:t>,</w:t>
      </w:r>
      <w:r w:rsidRPr="00405639">
        <w:rPr>
          <w:rFonts w:ascii="Arial" w:hAnsi="Arial" w:cs="Arial"/>
          <w:iCs/>
          <w:lang w:eastAsia="pt-PT"/>
        </w:rPr>
        <w:t xml:space="preserve"> in particolar modo di livello di base</w:t>
      </w:r>
    </w:p>
    <w:p w:rsidR="00E60535" w:rsidRPr="00405639" w:rsidRDefault="00E60535" w:rsidP="00D25A3D">
      <w:pPr>
        <w:numPr>
          <w:ilvl w:val="0"/>
          <w:numId w:val="11"/>
        </w:numPr>
        <w:autoSpaceDE w:val="0"/>
        <w:autoSpaceDN w:val="0"/>
        <w:adjustRightInd w:val="0"/>
        <w:spacing w:line="276" w:lineRule="auto"/>
        <w:rPr>
          <w:rFonts w:ascii="Arial" w:hAnsi="Arial" w:cs="Arial"/>
          <w:iCs/>
          <w:lang w:eastAsia="pt-PT"/>
        </w:rPr>
      </w:pPr>
      <w:r w:rsidRPr="003E1DA8">
        <w:rPr>
          <w:rFonts w:ascii="Arial" w:hAnsi="Arial" w:cs="Arial"/>
          <w:iCs/>
          <w:u w:val="single"/>
          <w:lang w:eastAsia="pt-PT"/>
        </w:rPr>
        <w:t>Meccanica strumentale e macchinari</w:t>
      </w:r>
      <w:r>
        <w:rPr>
          <w:rFonts w:ascii="Arial" w:hAnsi="Arial" w:cs="Arial"/>
          <w:iCs/>
          <w:lang w:eastAsia="pt-PT"/>
        </w:rPr>
        <w:t>,</w:t>
      </w:r>
      <w:r w:rsidRPr="00405639">
        <w:rPr>
          <w:rFonts w:ascii="Arial" w:hAnsi="Arial" w:cs="Arial"/>
          <w:iCs/>
          <w:lang w:eastAsia="pt-PT"/>
        </w:rPr>
        <w:t xml:space="preserve"> in particolare per il settore degli</w:t>
      </w:r>
    </w:p>
    <w:p w:rsidR="00E60535" w:rsidRPr="00405639" w:rsidRDefault="00E60535" w:rsidP="00D25A3D">
      <w:pPr>
        <w:autoSpaceDE w:val="0"/>
        <w:autoSpaceDN w:val="0"/>
        <w:adjustRightInd w:val="0"/>
        <w:spacing w:line="276" w:lineRule="auto"/>
        <w:ind w:left="770"/>
        <w:rPr>
          <w:rFonts w:ascii="Arial" w:hAnsi="Arial" w:cs="Arial"/>
          <w:iCs/>
          <w:lang w:eastAsia="pt-PT"/>
        </w:rPr>
      </w:pPr>
      <w:r w:rsidRPr="00405639">
        <w:rPr>
          <w:rFonts w:ascii="Arial" w:hAnsi="Arial" w:cs="Arial"/>
          <w:iCs/>
          <w:lang w:eastAsia="pt-PT"/>
        </w:rPr>
        <w:t>idrocarburi/minerario</w:t>
      </w:r>
    </w:p>
    <w:p w:rsidR="00E60535" w:rsidRPr="00405639" w:rsidRDefault="00E60535" w:rsidP="00D25A3D">
      <w:pPr>
        <w:numPr>
          <w:ilvl w:val="0"/>
          <w:numId w:val="11"/>
        </w:numPr>
        <w:autoSpaceDE w:val="0"/>
        <w:autoSpaceDN w:val="0"/>
        <w:adjustRightInd w:val="0"/>
        <w:spacing w:line="276" w:lineRule="auto"/>
        <w:rPr>
          <w:rFonts w:ascii="Arial-ItalicMT" w:hAnsi="Arial-ItalicMT" w:cs="Arial-ItalicMT"/>
          <w:i/>
          <w:iCs/>
          <w:lang w:eastAsia="pt-PT"/>
        </w:rPr>
      </w:pPr>
      <w:r w:rsidRPr="003E1DA8">
        <w:rPr>
          <w:rFonts w:ascii="Arial" w:hAnsi="Arial" w:cs="Arial"/>
          <w:iCs/>
          <w:u w:val="single"/>
          <w:lang w:eastAsia="pt-PT"/>
        </w:rPr>
        <w:t>Prodotti alimentari:</w:t>
      </w:r>
      <w:r w:rsidRPr="00405639">
        <w:rPr>
          <w:rFonts w:ascii="Arial" w:hAnsi="Arial" w:cs="Arial"/>
          <w:iCs/>
          <w:lang w:eastAsia="pt-PT"/>
        </w:rPr>
        <w:t xml:space="preserve"> </w:t>
      </w:r>
      <w:r w:rsidRPr="00405639">
        <w:rPr>
          <w:rFonts w:ascii="Arial" w:hAnsi="Arial" w:cs="Arial"/>
        </w:rPr>
        <w:t>buone prospettive di sviluppo con la progressiva crescita del mercato interno</w:t>
      </w:r>
    </w:p>
    <w:p w:rsidR="00E60535" w:rsidRPr="00435492" w:rsidRDefault="00E60535" w:rsidP="00D25A3D">
      <w:pPr>
        <w:numPr>
          <w:ilvl w:val="0"/>
          <w:numId w:val="11"/>
        </w:numPr>
        <w:autoSpaceDE w:val="0"/>
        <w:autoSpaceDN w:val="0"/>
        <w:adjustRightInd w:val="0"/>
        <w:spacing w:line="276" w:lineRule="auto"/>
        <w:rPr>
          <w:rFonts w:ascii="Arial" w:hAnsi="Arial" w:cs="Arial"/>
          <w:b/>
          <w:bCs/>
          <w:lang w:eastAsia="pt-PT"/>
        </w:rPr>
      </w:pPr>
      <w:r w:rsidRPr="00435492">
        <w:rPr>
          <w:rFonts w:ascii="Arial-ItalicMT" w:hAnsi="Arial-ItalicMT" w:cs="Arial-ItalicMT"/>
          <w:iCs/>
          <w:u w:val="single"/>
          <w:lang w:eastAsia="pt-PT"/>
        </w:rPr>
        <w:t>Turismo:</w:t>
      </w:r>
      <w:r w:rsidRPr="00435492">
        <w:rPr>
          <w:rFonts w:ascii="Arial-ItalicMT" w:hAnsi="Arial-ItalicMT" w:cs="Arial-ItalicMT"/>
          <w:iCs/>
          <w:lang w:eastAsia="pt-PT"/>
        </w:rPr>
        <w:t xml:space="preserve"> pacchetti promozionali sia per l’entroterra, ancora poco visitato, sia per</w:t>
      </w:r>
      <w:r w:rsidR="00435492">
        <w:rPr>
          <w:rFonts w:ascii="Arial-ItalicMT" w:hAnsi="Arial-ItalicMT" w:cs="Arial-ItalicMT"/>
          <w:iCs/>
          <w:lang w:eastAsia="pt-PT"/>
        </w:rPr>
        <w:t xml:space="preserve"> </w:t>
      </w:r>
      <w:r w:rsidRPr="00435492">
        <w:rPr>
          <w:rFonts w:ascii="Arial-ItalicMT" w:hAnsi="Arial-ItalicMT" w:cs="Arial-ItalicMT"/>
          <w:iCs/>
          <w:lang w:eastAsia="pt-PT"/>
        </w:rPr>
        <w:t>le zone costiere e le isole dell’Oceano Indiano sia per i parchi naturali</w:t>
      </w:r>
    </w:p>
    <w:p w:rsidR="00E60535" w:rsidRDefault="00E60535" w:rsidP="00D25A3D">
      <w:pPr>
        <w:autoSpaceDE w:val="0"/>
        <w:autoSpaceDN w:val="0"/>
        <w:adjustRightInd w:val="0"/>
        <w:spacing w:line="276" w:lineRule="auto"/>
        <w:rPr>
          <w:rFonts w:ascii="Arial-BoldMT" w:hAnsi="Arial-BoldMT" w:cs="Arial-BoldMT"/>
          <w:b/>
          <w:bCs/>
          <w:lang w:eastAsia="pt-PT"/>
        </w:rPr>
      </w:pPr>
    </w:p>
    <w:p w:rsidR="00E60535" w:rsidRPr="009F1C4C" w:rsidRDefault="00E60535" w:rsidP="00D25A3D">
      <w:pPr>
        <w:spacing w:line="276" w:lineRule="auto"/>
        <w:jc w:val="both"/>
        <w:rPr>
          <w:rFonts w:ascii="Arial" w:hAnsi="Arial" w:cs="Arial"/>
        </w:rPr>
      </w:pPr>
      <w:r w:rsidRPr="009F1C4C">
        <w:rPr>
          <w:rFonts w:ascii="Arial" w:hAnsi="Arial" w:cs="Arial"/>
        </w:rPr>
        <w:t>Il Mozambico è stato l’ultimo Paese ad unirsi all’Accordo di Partenariato Economico (APE) stipulato tra l’UE e gli Stati SADC aderenti all’APE. Per il Paese lusofono l’APE è entrato in vigore provvisoriamente il 4 febbraio 2018 ed è stato attivato a pieno regime il 28 febbraio 2018. Grazie all’accordo il Mozambico è esonerato dal pagamento dei dazi doganali sulle proprie esportazioni verso l’UE, ad eccezione delle armi e degli armamenti, mentre si impegna a ridurre o ad eliminare gradualmente i dazi applicati a molti prodotti che esso importa dall’UE.</w:t>
      </w:r>
    </w:p>
    <w:p w:rsidR="00E60535" w:rsidRPr="009F1C4C" w:rsidRDefault="00E60535" w:rsidP="00D25A3D">
      <w:pPr>
        <w:spacing w:line="276" w:lineRule="auto"/>
        <w:jc w:val="both"/>
        <w:rPr>
          <w:rFonts w:ascii="Arial" w:hAnsi="Arial" w:cs="Arial"/>
        </w:rPr>
      </w:pPr>
    </w:p>
    <w:p w:rsidR="00E60535" w:rsidRPr="009F1C4C" w:rsidRDefault="00E60535" w:rsidP="00D25A3D">
      <w:pPr>
        <w:spacing w:line="276" w:lineRule="auto"/>
        <w:jc w:val="both"/>
        <w:rPr>
          <w:rFonts w:ascii="Arial" w:hAnsi="Arial" w:cs="Arial"/>
        </w:rPr>
      </w:pPr>
      <w:r w:rsidRPr="009F1C4C">
        <w:rPr>
          <w:rFonts w:ascii="Arial" w:hAnsi="Arial" w:cs="Arial"/>
        </w:rPr>
        <w:t xml:space="preserve">Il Mozambico eliminerà i diritti doganali percepiti sul 74% delle proprie importazioni dall’UE entro un termine massimo di 10 anni, secondo tre categorie di base. Catgoria A: i diritti doganali vengono eliminati con l’entrata in vigore dell’APE; Categoria B: i diritti doganali vengono eliminati gradualmente in un periodo di 5 anni; Categoria C: i diritti doganali vengono eliminati in un periodo di dieci anni. (Il testo dell’APE è disponibile in tutte le lingue ufficiali dell’UE nel sito: </w:t>
      </w:r>
    </w:p>
    <w:p w:rsidR="00E60535" w:rsidRPr="009F1C4C" w:rsidRDefault="005D7A3D" w:rsidP="00D25A3D">
      <w:pPr>
        <w:spacing w:line="276" w:lineRule="auto"/>
        <w:jc w:val="both"/>
        <w:rPr>
          <w:rFonts w:ascii="Arial" w:hAnsi="Arial" w:cs="Arial"/>
        </w:rPr>
      </w:pPr>
      <w:hyperlink r:id="rId9" w:history="1">
        <w:r w:rsidR="00E60535" w:rsidRPr="009F1C4C">
          <w:rPr>
            <w:rStyle w:val="Hyperlink"/>
            <w:rFonts w:ascii="Arial" w:hAnsi="Arial" w:cs="Arial"/>
          </w:rPr>
          <w:t>https://eur-lex.europa.eu/legal-content/EN/TXT/?uri=OJ%3AL%3A2016%3A250%3ATOC</w:t>
        </w:r>
      </w:hyperlink>
      <w:r w:rsidR="00E60535" w:rsidRPr="009F1C4C">
        <w:rPr>
          <w:rFonts w:ascii="Arial" w:hAnsi="Arial" w:cs="Arial"/>
        </w:rPr>
        <w:t xml:space="preserve"> ).</w:t>
      </w:r>
    </w:p>
    <w:p w:rsidR="00E60535" w:rsidRPr="009F1C4C" w:rsidRDefault="00E60535" w:rsidP="00D25A3D">
      <w:pPr>
        <w:spacing w:line="276" w:lineRule="auto"/>
        <w:jc w:val="both"/>
        <w:rPr>
          <w:rFonts w:ascii="Arial" w:hAnsi="Arial" w:cs="Arial"/>
        </w:rPr>
      </w:pPr>
    </w:p>
    <w:p w:rsidR="00E60535" w:rsidRPr="009F1C4C" w:rsidRDefault="00E60535" w:rsidP="00D25A3D">
      <w:pPr>
        <w:spacing w:line="276" w:lineRule="auto"/>
        <w:jc w:val="both"/>
        <w:rPr>
          <w:rFonts w:ascii="Arial" w:hAnsi="Arial" w:cs="Arial"/>
          <w:b/>
        </w:rPr>
      </w:pPr>
      <w:r w:rsidRPr="009F1C4C">
        <w:rPr>
          <w:rFonts w:ascii="Arial" w:hAnsi="Arial" w:cs="Arial"/>
        </w:rPr>
        <w:t>La riduzione dei dazi produrrà un effetto benefico per le esportazioni del Made in Italy, il cui reale impatto sarà determinato dall’interazione di una serie di fattori come l’elasticità della domanda, il posizionamento dei concorrenti, lo stato dell’economia, l’andamento della congiuntura economica e l’andamento del tasso di cambio.</w:t>
      </w:r>
    </w:p>
    <w:p w:rsidR="00E60535" w:rsidRDefault="00E60535" w:rsidP="00D25A3D">
      <w:pPr>
        <w:autoSpaceDE w:val="0"/>
        <w:autoSpaceDN w:val="0"/>
        <w:adjustRightInd w:val="0"/>
        <w:spacing w:line="276" w:lineRule="auto"/>
        <w:rPr>
          <w:rFonts w:ascii="Arial-BoldMT" w:hAnsi="Arial-BoldMT" w:cs="Arial-BoldMT"/>
          <w:b/>
          <w:bCs/>
          <w:lang w:eastAsia="pt-PT"/>
        </w:rPr>
      </w:pPr>
    </w:p>
    <w:p w:rsidR="00560331" w:rsidRDefault="00560331" w:rsidP="00D25A3D">
      <w:pPr>
        <w:autoSpaceDE w:val="0"/>
        <w:autoSpaceDN w:val="0"/>
        <w:adjustRightInd w:val="0"/>
        <w:spacing w:line="276" w:lineRule="auto"/>
        <w:rPr>
          <w:rFonts w:ascii="Arial-BoldMT" w:hAnsi="Arial-BoldMT" w:cs="Arial-BoldMT"/>
          <w:b/>
          <w:bCs/>
          <w:lang w:eastAsia="pt-PT"/>
        </w:rPr>
      </w:pPr>
    </w:p>
    <w:p w:rsidR="00E60535" w:rsidRDefault="00E60535" w:rsidP="00D25A3D">
      <w:pPr>
        <w:autoSpaceDE w:val="0"/>
        <w:autoSpaceDN w:val="0"/>
        <w:adjustRightInd w:val="0"/>
        <w:spacing w:line="276" w:lineRule="auto"/>
        <w:rPr>
          <w:rFonts w:ascii="Arial-BoldMT" w:hAnsi="Arial-BoldMT" w:cs="Arial-BoldMT"/>
          <w:b/>
          <w:bCs/>
          <w:lang w:eastAsia="pt-PT"/>
        </w:rPr>
      </w:pPr>
    </w:p>
    <w:p w:rsidR="00E60535" w:rsidRDefault="00E60535" w:rsidP="00D25A3D">
      <w:pPr>
        <w:numPr>
          <w:ilvl w:val="0"/>
          <w:numId w:val="3"/>
        </w:numPr>
        <w:autoSpaceDE w:val="0"/>
        <w:autoSpaceDN w:val="0"/>
        <w:adjustRightInd w:val="0"/>
        <w:spacing w:line="276" w:lineRule="auto"/>
        <w:rPr>
          <w:rFonts w:ascii="Arial" w:hAnsi="Arial" w:cs="Arial"/>
          <w:b/>
          <w:bCs/>
          <w:lang w:eastAsia="pt-PT"/>
        </w:rPr>
      </w:pPr>
      <w:r w:rsidRPr="00405639">
        <w:rPr>
          <w:rFonts w:ascii="Arial" w:hAnsi="Arial" w:cs="Arial"/>
          <w:b/>
          <w:bCs/>
          <w:lang w:eastAsia="pt-PT"/>
        </w:rPr>
        <w:lastRenderedPageBreak/>
        <w:t xml:space="preserve">Opportunità di investimento </w:t>
      </w:r>
    </w:p>
    <w:p w:rsidR="00E60535" w:rsidRPr="00405639" w:rsidRDefault="00E60535" w:rsidP="00D25A3D">
      <w:pPr>
        <w:autoSpaceDE w:val="0"/>
        <w:autoSpaceDN w:val="0"/>
        <w:adjustRightInd w:val="0"/>
        <w:spacing w:line="276" w:lineRule="auto"/>
        <w:rPr>
          <w:rFonts w:ascii="Arial" w:hAnsi="Arial" w:cs="Arial"/>
          <w:b/>
          <w:bCs/>
          <w:lang w:eastAsia="pt-PT"/>
        </w:rPr>
      </w:pPr>
    </w:p>
    <w:p w:rsidR="00E60535" w:rsidRPr="00405639" w:rsidRDefault="00E60535" w:rsidP="00D25A3D">
      <w:pPr>
        <w:numPr>
          <w:ilvl w:val="0"/>
          <w:numId w:val="12"/>
        </w:numPr>
        <w:autoSpaceDE w:val="0"/>
        <w:autoSpaceDN w:val="0"/>
        <w:adjustRightInd w:val="0"/>
        <w:spacing w:line="276" w:lineRule="auto"/>
        <w:rPr>
          <w:rFonts w:ascii="Arial" w:hAnsi="Arial" w:cs="Arial"/>
          <w:iCs/>
          <w:lang w:eastAsia="pt-PT"/>
        </w:rPr>
      </w:pPr>
      <w:r w:rsidRPr="003E1DA8">
        <w:rPr>
          <w:rFonts w:ascii="Arial" w:hAnsi="Arial" w:cs="Arial"/>
          <w:iCs/>
          <w:u w:val="single"/>
          <w:lang w:eastAsia="pt-PT"/>
        </w:rPr>
        <w:t>Agricoltura:</w:t>
      </w:r>
      <w:r w:rsidRPr="00405639">
        <w:rPr>
          <w:rFonts w:ascii="Arial" w:hAnsi="Arial" w:cs="Arial"/>
          <w:iCs/>
          <w:lang w:eastAsia="pt-PT"/>
        </w:rPr>
        <w:t xml:space="preserve"> </w:t>
      </w:r>
      <w:r>
        <w:rPr>
          <w:rFonts w:ascii="Arial" w:hAnsi="Arial" w:cs="Arial"/>
          <w:iCs/>
          <w:lang w:eastAsia="pt-PT"/>
        </w:rPr>
        <w:t xml:space="preserve">vasto </w:t>
      </w:r>
      <w:r w:rsidRPr="00405639">
        <w:rPr>
          <w:rFonts w:ascii="Arial" w:hAnsi="Arial" w:cs="Arial"/>
          <w:iCs/>
          <w:lang w:eastAsia="pt-PT"/>
        </w:rPr>
        <w:t>territorio non ultilizzato, possibilità di avere grandi</w:t>
      </w:r>
    </w:p>
    <w:p w:rsidR="00E60535" w:rsidRDefault="00E60535" w:rsidP="00D25A3D">
      <w:pPr>
        <w:autoSpaceDE w:val="0"/>
        <w:autoSpaceDN w:val="0"/>
        <w:adjustRightInd w:val="0"/>
        <w:spacing w:line="276" w:lineRule="auto"/>
        <w:ind w:firstLine="720"/>
        <w:rPr>
          <w:rFonts w:ascii="Arial" w:hAnsi="Arial" w:cs="Arial"/>
          <w:iCs/>
          <w:lang w:eastAsia="pt-PT"/>
        </w:rPr>
      </w:pPr>
      <w:r w:rsidRPr="00405639">
        <w:rPr>
          <w:rFonts w:ascii="Arial" w:hAnsi="Arial" w:cs="Arial"/>
          <w:iCs/>
          <w:lang w:eastAsia="pt-PT"/>
        </w:rPr>
        <w:t>concessioni a costi contenuti</w:t>
      </w:r>
    </w:p>
    <w:p w:rsidR="00E60535" w:rsidRDefault="00E60535" w:rsidP="00D25A3D">
      <w:pPr>
        <w:numPr>
          <w:ilvl w:val="0"/>
          <w:numId w:val="12"/>
        </w:numPr>
        <w:autoSpaceDE w:val="0"/>
        <w:autoSpaceDN w:val="0"/>
        <w:adjustRightInd w:val="0"/>
        <w:spacing w:line="276" w:lineRule="auto"/>
        <w:rPr>
          <w:rFonts w:ascii="Arial" w:hAnsi="Arial" w:cs="Arial"/>
          <w:iCs/>
          <w:lang w:eastAsia="pt-PT"/>
        </w:rPr>
      </w:pPr>
      <w:r w:rsidRPr="003E1DA8">
        <w:rPr>
          <w:rFonts w:ascii="Arial" w:hAnsi="Arial" w:cs="Arial"/>
          <w:iCs/>
          <w:u w:val="single"/>
          <w:lang w:eastAsia="pt-PT"/>
        </w:rPr>
        <w:t>Infrastrutture</w:t>
      </w:r>
      <w:r w:rsidRPr="00405639">
        <w:rPr>
          <w:rFonts w:ascii="Arial" w:hAnsi="Arial" w:cs="Arial"/>
          <w:iCs/>
          <w:lang w:eastAsia="pt-PT"/>
        </w:rPr>
        <w:t xml:space="preserve"> (strade, ferrovie, porti)</w:t>
      </w:r>
    </w:p>
    <w:p w:rsidR="00E60535" w:rsidRPr="00405639" w:rsidRDefault="00E60535" w:rsidP="00D25A3D">
      <w:pPr>
        <w:numPr>
          <w:ilvl w:val="0"/>
          <w:numId w:val="12"/>
        </w:numPr>
        <w:autoSpaceDE w:val="0"/>
        <w:autoSpaceDN w:val="0"/>
        <w:adjustRightInd w:val="0"/>
        <w:spacing w:line="276" w:lineRule="auto"/>
        <w:rPr>
          <w:rFonts w:ascii="Arial" w:hAnsi="Arial" w:cs="Arial"/>
          <w:iCs/>
          <w:lang w:eastAsia="pt-PT"/>
        </w:rPr>
      </w:pPr>
      <w:r w:rsidRPr="003E1DA8">
        <w:rPr>
          <w:rFonts w:ascii="Arial" w:hAnsi="Arial" w:cs="Arial"/>
          <w:iCs/>
          <w:u w:val="single"/>
          <w:lang w:eastAsia="pt-PT"/>
        </w:rPr>
        <w:t>Prodotti delle cave e delle miniere:</w:t>
      </w:r>
      <w:r w:rsidRPr="00405639">
        <w:rPr>
          <w:rFonts w:ascii="Arial" w:hAnsi="Arial" w:cs="Arial"/>
          <w:iCs/>
          <w:lang w:eastAsia="pt-PT"/>
        </w:rPr>
        <w:t xml:space="preserve"> giacimenti di carbone, di titanio e di gas</w:t>
      </w:r>
    </w:p>
    <w:p w:rsidR="00E60535" w:rsidRDefault="00E60535" w:rsidP="00D25A3D">
      <w:pPr>
        <w:autoSpaceDE w:val="0"/>
        <w:autoSpaceDN w:val="0"/>
        <w:adjustRightInd w:val="0"/>
        <w:spacing w:line="276" w:lineRule="auto"/>
        <w:ind w:firstLine="720"/>
        <w:rPr>
          <w:rFonts w:ascii="Arial" w:hAnsi="Arial" w:cs="Arial"/>
          <w:iCs/>
          <w:lang w:eastAsia="pt-PT"/>
        </w:rPr>
      </w:pPr>
      <w:r>
        <w:rPr>
          <w:rFonts w:ascii="Arial" w:hAnsi="Arial" w:cs="Arial"/>
          <w:iCs/>
          <w:lang w:eastAsia="pt-PT"/>
        </w:rPr>
        <w:t>Naturale</w:t>
      </w:r>
    </w:p>
    <w:p w:rsidR="00E60535" w:rsidRPr="00405639" w:rsidRDefault="00E60535" w:rsidP="00D25A3D">
      <w:pPr>
        <w:numPr>
          <w:ilvl w:val="0"/>
          <w:numId w:val="13"/>
        </w:numPr>
        <w:autoSpaceDE w:val="0"/>
        <w:autoSpaceDN w:val="0"/>
        <w:adjustRightInd w:val="0"/>
        <w:spacing w:line="276" w:lineRule="auto"/>
        <w:rPr>
          <w:rFonts w:ascii="Arial" w:hAnsi="Arial" w:cs="Arial"/>
          <w:iCs/>
          <w:lang w:eastAsia="pt-PT"/>
        </w:rPr>
      </w:pPr>
      <w:r w:rsidRPr="003E1DA8">
        <w:rPr>
          <w:rFonts w:ascii="Arial" w:hAnsi="Arial" w:cs="Arial"/>
          <w:iCs/>
          <w:u w:val="single"/>
          <w:lang w:eastAsia="pt-PT"/>
        </w:rPr>
        <w:t>Energia elettrica:</w:t>
      </w:r>
      <w:r w:rsidRPr="00405639">
        <w:rPr>
          <w:rFonts w:ascii="Arial" w:hAnsi="Arial" w:cs="Arial"/>
          <w:iCs/>
          <w:lang w:eastAsia="pt-PT"/>
        </w:rPr>
        <w:t xml:space="preserve"> energie rinnovabili (soprattutto il fotovoltaico e idro-elettrico)</w:t>
      </w:r>
      <w:r>
        <w:rPr>
          <w:rFonts w:ascii="Arial" w:hAnsi="Arial" w:cs="Arial"/>
          <w:iCs/>
          <w:lang w:eastAsia="pt-PT"/>
        </w:rPr>
        <w:t>,</w:t>
      </w:r>
    </w:p>
    <w:p w:rsidR="00E60535" w:rsidRDefault="00E60535" w:rsidP="00D25A3D">
      <w:pPr>
        <w:autoSpaceDE w:val="0"/>
        <w:autoSpaceDN w:val="0"/>
        <w:adjustRightInd w:val="0"/>
        <w:spacing w:line="276" w:lineRule="auto"/>
        <w:ind w:firstLine="720"/>
        <w:rPr>
          <w:rFonts w:ascii="Arial" w:eastAsia="SymbolMT" w:hAnsi="Arial" w:cs="Arial"/>
          <w:lang w:eastAsia="pt-PT"/>
        </w:rPr>
      </w:pPr>
      <w:r>
        <w:rPr>
          <w:rFonts w:ascii="Arial" w:hAnsi="Arial" w:cs="Arial"/>
          <w:iCs/>
          <w:lang w:eastAsia="pt-PT"/>
        </w:rPr>
        <w:t>i</w:t>
      </w:r>
      <w:r w:rsidRPr="00405639">
        <w:rPr>
          <w:rFonts w:ascii="Arial" w:hAnsi="Arial" w:cs="Arial"/>
          <w:iCs/>
          <w:lang w:eastAsia="pt-PT"/>
        </w:rPr>
        <w:t xml:space="preserve">mpianti </w:t>
      </w:r>
      <w:r>
        <w:rPr>
          <w:rFonts w:ascii="Arial" w:hAnsi="Arial" w:cs="Arial"/>
          <w:iCs/>
          <w:lang w:eastAsia="pt-PT"/>
        </w:rPr>
        <w:t>e reti energetiche tradizionali</w:t>
      </w:r>
      <w:r w:rsidRPr="00405639">
        <w:rPr>
          <w:rFonts w:ascii="Arial" w:eastAsia="SymbolMT" w:hAnsi="Arial" w:cs="Arial"/>
          <w:lang w:eastAsia="pt-PT"/>
        </w:rPr>
        <w:t xml:space="preserve"> </w:t>
      </w:r>
    </w:p>
    <w:p w:rsidR="00E60535" w:rsidRPr="003E1DA8" w:rsidRDefault="00E60535" w:rsidP="00D25A3D">
      <w:pPr>
        <w:numPr>
          <w:ilvl w:val="0"/>
          <w:numId w:val="13"/>
        </w:numPr>
        <w:autoSpaceDE w:val="0"/>
        <w:autoSpaceDN w:val="0"/>
        <w:adjustRightInd w:val="0"/>
        <w:spacing w:line="276" w:lineRule="auto"/>
        <w:rPr>
          <w:rFonts w:ascii="Arial" w:hAnsi="Arial" w:cs="Arial"/>
          <w:iCs/>
          <w:lang w:eastAsia="pt-PT"/>
        </w:rPr>
      </w:pPr>
      <w:r w:rsidRPr="003E1DA8">
        <w:rPr>
          <w:rFonts w:ascii="Arial" w:hAnsi="Arial" w:cs="Arial"/>
          <w:iCs/>
          <w:u w:val="single"/>
          <w:lang w:eastAsia="pt-PT"/>
        </w:rPr>
        <w:t>Trasformazione alimentare:</w:t>
      </w:r>
      <w:r w:rsidRPr="003E1DA8">
        <w:rPr>
          <w:rFonts w:ascii="Arial" w:hAnsi="Arial" w:cs="Arial"/>
          <w:iCs/>
          <w:lang w:eastAsia="pt-PT"/>
        </w:rPr>
        <w:t xml:space="preserve"> macchinari per la</w:t>
      </w:r>
      <w:r>
        <w:rPr>
          <w:rFonts w:ascii="Arial" w:hAnsi="Arial" w:cs="Arial"/>
          <w:iCs/>
          <w:lang w:eastAsia="pt-PT"/>
        </w:rPr>
        <w:t xml:space="preserve"> </w:t>
      </w:r>
      <w:r w:rsidRPr="003E1DA8">
        <w:rPr>
          <w:rFonts w:ascii="Arial" w:hAnsi="Arial" w:cs="Arial"/>
          <w:iCs/>
          <w:lang w:eastAsia="pt-PT"/>
        </w:rPr>
        <w:t>trasformazione e produzione di prodotti di imballaggio</w:t>
      </w:r>
    </w:p>
    <w:p w:rsidR="00E60535" w:rsidRPr="00DD3155" w:rsidRDefault="00E60535" w:rsidP="00D25A3D">
      <w:pPr>
        <w:numPr>
          <w:ilvl w:val="0"/>
          <w:numId w:val="13"/>
        </w:numPr>
        <w:autoSpaceDE w:val="0"/>
        <w:autoSpaceDN w:val="0"/>
        <w:adjustRightInd w:val="0"/>
        <w:spacing w:line="276" w:lineRule="auto"/>
        <w:rPr>
          <w:rFonts w:ascii="Arial" w:hAnsi="Arial" w:cs="Arial"/>
        </w:rPr>
      </w:pPr>
      <w:r w:rsidRPr="003E1DA8">
        <w:rPr>
          <w:rFonts w:ascii="Arial" w:hAnsi="Arial" w:cs="Arial"/>
          <w:iCs/>
          <w:u w:val="single"/>
          <w:lang w:eastAsia="pt-PT"/>
        </w:rPr>
        <w:t>Turismo:</w:t>
      </w:r>
      <w:r w:rsidRPr="00405639">
        <w:rPr>
          <w:rFonts w:ascii="Arial" w:hAnsi="Arial" w:cs="Arial"/>
          <w:iCs/>
          <w:lang w:eastAsia="pt-PT"/>
        </w:rPr>
        <w:t xml:space="preserve"> potenziamento</w:t>
      </w:r>
      <w:r>
        <w:rPr>
          <w:rFonts w:ascii="Arial" w:hAnsi="Arial" w:cs="Arial"/>
          <w:iCs/>
          <w:lang w:eastAsia="pt-PT"/>
        </w:rPr>
        <w:t xml:space="preserve"> delle infrastrutture ricettive</w:t>
      </w:r>
    </w:p>
    <w:p w:rsidR="00E60535" w:rsidRDefault="00E60535" w:rsidP="00D25A3D">
      <w:pPr>
        <w:autoSpaceDE w:val="0"/>
        <w:autoSpaceDN w:val="0"/>
        <w:adjustRightInd w:val="0"/>
        <w:spacing w:line="276" w:lineRule="auto"/>
        <w:rPr>
          <w:rFonts w:ascii="Arial" w:hAnsi="Arial" w:cs="Arial"/>
        </w:rPr>
      </w:pPr>
    </w:p>
    <w:p w:rsidR="00435492" w:rsidRPr="00767178" w:rsidRDefault="00435492" w:rsidP="00D25A3D">
      <w:pPr>
        <w:autoSpaceDE w:val="0"/>
        <w:autoSpaceDN w:val="0"/>
        <w:adjustRightInd w:val="0"/>
        <w:spacing w:line="276" w:lineRule="auto"/>
        <w:rPr>
          <w:rFonts w:ascii="Arial" w:hAnsi="Arial" w:cs="Arial"/>
        </w:rPr>
      </w:pPr>
    </w:p>
    <w:p w:rsidR="00E60535" w:rsidRPr="00767178" w:rsidRDefault="00E60535" w:rsidP="00D25A3D">
      <w:pPr>
        <w:numPr>
          <w:ilvl w:val="0"/>
          <w:numId w:val="3"/>
        </w:numPr>
        <w:autoSpaceDE w:val="0"/>
        <w:autoSpaceDN w:val="0"/>
        <w:adjustRightInd w:val="0"/>
        <w:spacing w:line="276" w:lineRule="auto"/>
        <w:rPr>
          <w:rFonts w:ascii="Arial" w:hAnsi="Arial" w:cs="Arial"/>
          <w:b/>
        </w:rPr>
      </w:pPr>
      <w:r w:rsidRPr="00767178">
        <w:rPr>
          <w:rFonts w:ascii="Arial" w:hAnsi="Arial" w:cs="Arial"/>
          <w:b/>
        </w:rPr>
        <w:t>Appuntamenti da non perdere</w:t>
      </w:r>
    </w:p>
    <w:p w:rsidR="00E60535" w:rsidRPr="00767178" w:rsidRDefault="00E60535" w:rsidP="00D25A3D">
      <w:pPr>
        <w:autoSpaceDE w:val="0"/>
        <w:autoSpaceDN w:val="0"/>
        <w:adjustRightInd w:val="0"/>
        <w:spacing w:line="276" w:lineRule="auto"/>
        <w:rPr>
          <w:rFonts w:ascii="Arial" w:hAnsi="Arial" w:cs="Arial"/>
          <w:b/>
        </w:rPr>
      </w:pPr>
    </w:p>
    <w:p w:rsidR="00E60535" w:rsidRPr="00767178" w:rsidRDefault="00E60535" w:rsidP="00D25A3D">
      <w:pPr>
        <w:autoSpaceDE w:val="0"/>
        <w:autoSpaceDN w:val="0"/>
        <w:adjustRightInd w:val="0"/>
        <w:spacing w:line="276" w:lineRule="auto"/>
        <w:jc w:val="both"/>
        <w:rPr>
          <w:rFonts w:ascii="Arial" w:hAnsi="Arial" w:cs="Arial"/>
        </w:rPr>
      </w:pPr>
      <w:r w:rsidRPr="00767178">
        <w:rPr>
          <w:rFonts w:ascii="Arial" w:hAnsi="Arial" w:cs="Arial"/>
        </w:rPr>
        <w:t>Chi abbia un interesse reale nei confronti del Mozambico e chi intenda fare affari in Mozambico non dovrebbe trascurare la fiera FACIM (Feira Agro-Pecuaria, Comercial e Industrial de</w:t>
      </w:r>
      <w:r w:rsidRPr="00767178">
        <w:rPr>
          <w:rFonts w:ascii="Arial" w:hAnsi="Arial" w:cs="Arial"/>
          <w:sz w:val="20"/>
          <w:lang w:eastAsia="it-IT"/>
        </w:rPr>
        <w:t xml:space="preserve"> </w:t>
      </w:r>
      <w:r w:rsidRPr="00767178">
        <w:rPr>
          <w:rFonts w:ascii="Arial" w:hAnsi="Arial" w:cs="Arial"/>
          <w:lang w:eastAsia="it-IT"/>
        </w:rPr>
        <w:t>Moçambique), che si tiene a Marracuene, in prossimità di Maputo.</w:t>
      </w:r>
      <w:r w:rsidR="00435492">
        <w:rPr>
          <w:rFonts w:ascii="Arial" w:hAnsi="Arial" w:cs="Arial"/>
        </w:rPr>
        <w:t xml:space="preserve"> </w:t>
      </w:r>
      <w:r w:rsidRPr="00767178">
        <w:rPr>
          <w:rFonts w:ascii="Arial" w:hAnsi="Arial" w:cs="Arial"/>
        </w:rPr>
        <w:t>Si tratta di una fiera campionaria plurisettoriale con cadenza annuale, è considerata il più importante momento promozionale ed il più rilevante evento economico in Mozambico, che vanta la presenza di operatori e imprese da vari paesi del mondo e in rappresentanza di tutti i settori.</w:t>
      </w:r>
    </w:p>
    <w:p w:rsidR="00E60535" w:rsidRPr="00767178" w:rsidRDefault="00E60535" w:rsidP="00D25A3D">
      <w:pPr>
        <w:autoSpaceDE w:val="0"/>
        <w:autoSpaceDN w:val="0"/>
        <w:adjustRightInd w:val="0"/>
        <w:spacing w:line="276" w:lineRule="auto"/>
        <w:jc w:val="both"/>
        <w:rPr>
          <w:rFonts w:ascii="Arial" w:hAnsi="Arial" w:cs="Arial"/>
        </w:rPr>
      </w:pPr>
    </w:p>
    <w:p w:rsidR="00E60535" w:rsidRDefault="00E60535" w:rsidP="00D25A3D">
      <w:pPr>
        <w:autoSpaceDE w:val="0"/>
        <w:autoSpaceDN w:val="0"/>
        <w:adjustRightInd w:val="0"/>
        <w:spacing w:line="276" w:lineRule="auto"/>
        <w:jc w:val="both"/>
        <w:rPr>
          <w:rFonts w:ascii="Arial" w:hAnsi="Arial" w:cs="Arial"/>
          <w:lang w:eastAsia="it-IT"/>
        </w:rPr>
      </w:pPr>
      <w:r w:rsidRPr="00767178">
        <w:rPr>
          <w:rFonts w:ascii="Arial" w:hAnsi="Arial" w:cs="Arial"/>
          <w:lang w:eastAsia="it-IT"/>
        </w:rPr>
        <w:t>Attraverso la FACIM il Governo Mozambicano intende di promuovere scambi commerciali, stimolare produzione e consumo e favorire l’integrazione economica del Mozambico nell’economia mondiale.</w:t>
      </w:r>
      <w:r w:rsidR="00435492">
        <w:rPr>
          <w:rFonts w:ascii="Arial" w:hAnsi="Arial" w:cs="Arial"/>
          <w:lang w:eastAsia="it-IT"/>
        </w:rPr>
        <w:t xml:space="preserve"> </w:t>
      </w:r>
      <w:r w:rsidRPr="00767178">
        <w:rPr>
          <w:rFonts w:ascii="Arial" w:hAnsi="Arial" w:cs="Arial"/>
          <w:lang w:eastAsia="it-IT"/>
        </w:rPr>
        <w:t xml:space="preserve">Il padiglione ufficiale dell’Italia organizzato dall’ICE-Agenzia è ormai da tempo una presenza costante. </w:t>
      </w:r>
    </w:p>
    <w:p w:rsidR="00E60535" w:rsidRDefault="00E60535" w:rsidP="00D25A3D">
      <w:pPr>
        <w:autoSpaceDE w:val="0"/>
        <w:autoSpaceDN w:val="0"/>
        <w:adjustRightInd w:val="0"/>
        <w:spacing w:line="276" w:lineRule="auto"/>
        <w:jc w:val="both"/>
        <w:rPr>
          <w:rFonts w:ascii="Arial" w:hAnsi="Arial" w:cs="Arial"/>
          <w:lang w:eastAsia="it-IT"/>
        </w:rPr>
      </w:pPr>
    </w:p>
    <w:p w:rsidR="00D25A3D" w:rsidRDefault="00E60535" w:rsidP="00435492">
      <w:pPr>
        <w:autoSpaceDE w:val="0"/>
        <w:autoSpaceDN w:val="0"/>
        <w:adjustRightInd w:val="0"/>
        <w:spacing w:line="276" w:lineRule="auto"/>
        <w:jc w:val="both"/>
        <w:rPr>
          <w:rFonts w:ascii="Arial" w:hAnsi="Arial" w:cs="Arial"/>
          <w:lang w:eastAsia="it-IT"/>
        </w:rPr>
      </w:pPr>
      <w:r>
        <w:rPr>
          <w:rFonts w:ascii="Arial" w:hAnsi="Arial" w:cs="Arial"/>
          <w:lang w:eastAsia="it-IT"/>
        </w:rPr>
        <w:t>L’edizione (56ª) del 2020, in calendario come di consueto nell’ultima settimana di agosto non si è svolta a causa dell’emergenza epidemiologica di COVID-19. Ancora in forse la stessa edizione per 2021.</w:t>
      </w:r>
      <w:r w:rsidR="00D25A3D">
        <w:rPr>
          <w:rFonts w:ascii="Arial" w:hAnsi="Arial" w:cs="Arial"/>
          <w:lang w:eastAsia="it-IT"/>
        </w:rPr>
        <w:br w:type="page"/>
      </w:r>
    </w:p>
    <w:p w:rsidR="00D25A3D" w:rsidRPr="00D25A3D" w:rsidRDefault="00D25A3D" w:rsidP="00D25A3D">
      <w:pPr>
        <w:pStyle w:val="ListParagraph"/>
        <w:numPr>
          <w:ilvl w:val="0"/>
          <w:numId w:val="3"/>
        </w:numPr>
        <w:suppressAutoHyphens/>
        <w:jc w:val="both"/>
        <w:rPr>
          <w:rFonts w:ascii="Arial" w:hAnsi="Arial" w:cs="Arial"/>
          <w:b/>
          <w:bCs/>
          <w:lang w:eastAsia="pt-PT"/>
        </w:rPr>
      </w:pPr>
      <w:r>
        <w:rPr>
          <w:rFonts w:ascii="Arial" w:hAnsi="Arial" w:cs="Arial"/>
          <w:b/>
          <w:bCs/>
          <w:lang w:eastAsia="pt-PT"/>
        </w:rPr>
        <w:lastRenderedPageBreak/>
        <w:t xml:space="preserve">  </w:t>
      </w:r>
      <w:r w:rsidRPr="00D25A3D">
        <w:rPr>
          <w:rFonts w:ascii="Arial" w:hAnsi="Arial" w:cs="Arial"/>
          <w:b/>
          <w:bCs/>
          <w:lang w:eastAsia="pt-PT"/>
        </w:rPr>
        <w:t>Contatti Utili</w:t>
      </w:r>
    </w:p>
    <w:p w:rsidR="00D25A3D" w:rsidRPr="00D25A3D" w:rsidRDefault="00D25A3D" w:rsidP="00D25A3D">
      <w:pPr>
        <w:suppressAutoHyphens/>
        <w:ind w:left="360"/>
        <w:jc w:val="both"/>
        <w:rPr>
          <w:rFonts w:ascii="Arial" w:hAnsi="Arial" w:cs="Arial"/>
        </w:rPr>
      </w:pPr>
    </w:p>
    <w:p w:rsidR="00D25A3D" w:rsidRPr="0081216E" w:rsidRDefault="00D25A3D" w:rsidP="00D25A3D">
      <w:pPr>
        <w:jc w:val="both"/>
        <w:rPr>
          <w:rFonts w:ascii="Arial" w:hAnsi="Arial" w:cs="Arial"/>
        </w:rPr>
      </w:pPr>
    </w:p>
    <w:p w:rsidR="00D25A3D" w:rsidRPr="0081216E" w:rsidRDefault="00D25A3D" w:rsidP="00D25A3D">
      <w:pPr>
        <w:jc w:val="both"/>
        <w:rPr>
          <w:rFonts w:ascii="Arial" w:hAnsi="Arial" w:cs="Arial"/>
        </w:rPr>
      </w:pPr>
    </w:p>
    <w:p w:rsidR="00D25A3D" w:rsidRPr="0081216E" w:rsidRDefault="00D25A3D" w:rsidP="00D25A3D">
      <w:pPr>
        <w:jc w:val="both"/>
        <w:rPr>
          <w:rFonts w:ascii="Arial" w:hAnsi="Arial" w:cs="Arial"/>
        </w:rPr>
      </w:pPr>
      <w:r>
        <w:rPr>
          <w:rFonts w:ascii="Arial" w:hAnsi="Arial" w:cs="Arial"/>
          <w:noProof/>
          <w:lang w:eastAsia="it-IT"/>
        </w:rPr>
        <w:drawing>
          <wp:inline distT="0" distB="0" distL="0" distR="0">
            <wp:extent cx="2846705" cy="381635"/>
            <wp:effectExtent l="19050" t="0" r="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846705" cy="381635"/>
                    </a:xfrm>
                    <a:prstGeom prst="rect">
                      <a:avLst/>
                    </a:prstGeom>
                    <a:noFill/>
                    <a:ln w="9525">
                      <a:noFill/>
                      <a:miter lim="800000"/>
                      <a:headEnd/>
                      <a:tailEnd/>
                    </a:ln>
                  </pic:spPr>
                </pic:pic>
              </a:graphicData>
            </a:graphic>
          </wp:inline>
        </w:drawing>
      </w:r>
    </w:p>
    <w:p w:rsidR="00D25A3D" w:rsidRPr="009355A2" w:rsidRDefault="00D25A3D" w:rsidP="00D25A3D">
      <w:pPr>
        <w:shd w:val="clear" w:color="auto" w:fill="FFFFFF"/>
        <w:rPr>
          <w:rFonts w:ascii="Arial" w:hAnsi="Arial" w:cs="Arial"/>
          <w:color w:val="4F5054"/>
          <w:lang w:val="pt-PT" w:eastAsia="pt-PT"/>
        </w:rPr>
      </w:pPr>
      <w:r w:rsidRPr="009355A2">
        <w:rPr>
          <w:rFonts w:ascii="Arial" w:hAnsi="Arial" w:cs="Arial"/>
          <w:color w:val="4F5054"/>
          <w:lang w:val="pt-PT" w:eastAsia="pt-PT"/>
        </w:rPr>
        <w:t>Avenida Kenneth Kaunda, 387</w:t>
      </w:r>
    </w:p>
    <w:p w:rsidR="00D25A3D" w:rsidRPr="009355A2" w:rsidRDefault="00D25A3D" w:rsidP="00D25A3D">
      <w:pPr>
        <w:shd w:val="clear" w:color="auto" w:fill="FFFFFF"/>
        <w:rPr>
          <w:rFonts w:ascii="Arial" w:hAnsi="Arial" w:cs="Arial"/>
          <w:color w:val="4F5054"/>
          <w:lang w:val="pt-PT" w:eastAsia="pt-PT"/>
        </w:rPr>
      </w:pPr>
      <w:r>
        <w:rPr>
          <w:rFonts w:ascii="Arial" w:hAnsi="Arial" w:cs="Arial"/>
          <w:color w:val="4F5054"/>
          <w:lang w:val="pt-PT" w:eastAsia="pt-PT"/>
        </w:rPr>
        <w:t xml:space="preserve">Tel. </w:t>
      </w:r>
      <w:r w:rsidRPr="009355A2">
        <w:rPr>
          <w:rFonts w:ascii="Arial" w:hAnsi="Arial" w:cs="Arial"/>
          <w:color w:val="4F5054"/>
          <w:lang w:val="pt-PT" w:eastAsia="pt-PT"/>
        </w:rPr>
        <w:t>0025821492227 / 0025821492229</w:t>
      </w:r>
    </w:p>
    <w:p w:rsidR="00D25A3D" w:rsidRDefault="00D25A3D" w:rsidP="00D25A3D">
      <w:pPr>
        <w:shd w:val="clear" w:color="auto" w:fill="FFFFFF"/>
        <w:rPr>
          <w:rFonts w:ascii="Arial" w:hAnsi="Arial" w:cs="Arial"/>
          <w:color w:val="4F5054"/>
          <w:lang w:val="pt-PT" w:eastAsia="pt-PT"/>
        </w:rPr>
      </w:pPr>
      <w:r w:rsidRPr="009355A2">
        <w:rPr>
          <w:rFonts w:ascii="Arial" w:hAnsi="Arial" w:cs="Arial"/>
          <w:bCs/>
          <w:color w:val="4F5054"/>
          <w:lang w:val="pt-PT" w:eastAsia="pt-PT"/>
        </w:rPr>
        <w:t>Fax</w:t>
      </w:r>
      <w:r w:rsidRPr="009355A2">
        <w:rPr>
          <w:rFonts w:ascii="Arial" w:hAnsi="Arial" w:cs="Arial"/>
          <w:b/>
          <w:bCs/>
          <w:color w:val="4F5054"/>
          <w:lang w:val="pt-PT" w:eastAsia="pt-PT"/>
        </w:rPr>
        <w:t> </w:t>
      </w:r>
      <w:r w:rsidRPr="009355A2">
        <w:rPr>
          <w:rFonts w:ascii="Arial" w:hAnsi="Arial" w:cs="Arial"/>
          <w:color w:val="4F5054"/>
          <w:lang w:val="pt-PT" w:eastAsia="pt-PT"/>
        </w:rPr>
        <w:t>0025821490503</w:t>
      </w:r>
    </w:p>
    <w:p w:rsidR="00D25A3D" w:rsidRDefault="00D25A3D" w:rsidP="00D25A3D">
      <w:pPr>
        <w:shd w:val="clear" w:color="auto" w:fill="FFFFFF"/>
        <w:rPr>
          <w:rFonts w:ascii="Arial" w:hAnsi="Arial" w:cs="Arial"/>
          <w:color w:val="4F5054"/>
          <w:lang w:val="pt-PT" w:eastAsia="pt-PT"/>
        </w:rPr>
      </w:pPr>
      <w:r>
        <w:rPr>
          <w:rFonts w:ascii="Arial" w:hAnsi="Arial" w:cs="Arial"/>
          <w:color w:val="4F5054"/>
          <w:lang w:val="pt-PT" w:eastAsia="pt-PT"/>
        </w:rPr>
        <w:t xml:space="preserve">e-mail: </w:t>
      </w:r>
      <w:hyperlink r:id="rId11" w:history="1">
        <w:r w:rsidRPr="00237EA8">
          <w:rPr>
            <w:rStyle w:val="Hyperlink"/>
            <w:rFonts w:ascii="Arial" w:hAnsi="Arial" w:cs="Arial"/>
            <w:lang w:val="pt-PT" w:eastAsia="pt-PT"/>
          </w:rPr>
          <w:t>ambasciata.maputo@esteri.it</w:t>
        </w:r>
      </w:hyperlink>
    </w:p>
    <w:p w:rsidR="00D25A3D" w:rsidRDefault="005D7A3D" w:rsidP="00D25A3D">
      <w:pPr>
        <w:shd w:val="clear" w:color="auto" w:fill="FFFFFF"/>
        <w:rPr>
          <w:rFonts w:ascii="Arial" w:hAnsi="Arial" w:cs="Arial"/>
          <w:color w:val="4F5054"/>
          <w:lang w:val="pt-PT" w:eastAsia="pt-PT"/>
        </w:rPr>
      </w:pPr>
      <w:hyperlink r:id="rId12" w:history="1">
        <w:r w:rsidR="00D25A3D" w:rsidRPr="00237EA8">
          <w:rPr>
            <w:rStyle w:val="Hyperlink"/>
            <w:rFonts w:ascii="Arial" w:hAnsi="Arial" w:cs="Arial"/>
            <w:lang w:val="pt-PT" w:eastAsia="pt-PT"/>
          </w:rPr>
          <w:t>www.ambmaputo.esteri.it</w:t>
        </w:r>
      </w:hyperlink>
    </w:p>
    <w:p w:rsidR="00D25A3D" w:rsidRDefault="00D25A3D" w:rsidP="00D25A3D">
      <w:pPr>
        <w:shd w:val="clear" w:color="auto" w:fill="FFFFFF"/>
        <w:rPr>
          <w:rFonts w:ascii="Arial" w:hAnsi="Arial" w:cs="Arial"/>
          <w:color w:val="4F5054"/>
          <w:sz w:val="23"/>
          <w:szCs w:val="23"/>
          <w:lang w:val="pt-PT" w:eastAsia="pt-PT"/>
        </w:rPr>
      </w:pPr>
    </w:p>
    <w:p w:rsidR="00D25A3D" w:rsidRDefault="00D25A3D" w:rsidP="00D25A3D">
      <w:pPr>
        <w:shd w:val="clear" w:color="auto" w:fill="FFFFFF"/>
        <w:rPr>
          <w:rFonts w:ascii="Arial" w:hAnsi="Arial" w:cs="Arial"/>
          <w:color w:val="4F5054"/>
          <w:sz w:val="23"/>
          <w:szCs w:val="23"/>
          <w:lang w:val="pt-PT" w:eastAsia="pt-PT"/>
        </w:rPr>
      </w:pPr>
    </w:p>
    <w:p w:rsidR="00D25A3D" w:rsidRDefault="00D25A3D" w:rsidP="00D25A3D">
      <w:pPr>
        <w:shd w:val="clear" w:color="auto" w:fill="FFFFFF"/>
        <w:rPr>
          <w:rFonts w:ascii="Arial" w:hAnsi="Arial" w:cs="Arial"/>
          <w:color w:val="4F5054"/>
          <w:sz w:val="23"/>
          <w:szCs w:val="23"/>
          <w:lang w:val="pt-PT" w:eastAsia="pt-PT"/>
        </w:rPr>
      </w:pPr>
      <w:r>
        <w:rPr>
          <w:noProof/>
          <w:lang w:eastAsia="it-IT"/>
        </w:rPr>
        <w:drawing>
          <wp:inline distT="0" distB="0" distL="0" distR="0">
            <wp:extent cx="3427095" cy="668020"/>
            <wp:effectExtent l="19050" t="0" r="1905" b="0"/>
            <wp:docPr id="7" name="Imagem 2" descr="AICS_360x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CS_360x70"/>
                    <pic:cNvPicPr>
                      <a:picLocks noChangeAspect="1" noChangeArrowheads="1"/>
                    </pic:cNvPicPr>
                  </pic:nvPicPr>
                  <pic:blipFill>
                    <a:blip r:embed="rId13" cstate="print"/>
                    <a:srcRect/>
                    <a:stretch>
                      <a:fillRect/>
                    </a:stretch>
                  </pic:blipFill>
                  <pic:spPr bwMode="auto">
                    <a:xfrm>
                      <a:off x="0" y="0"/>
                      <a:ext cx="3427095" cy="668020"/>
                    </a:xfrm>
                    <a:prstGeom prst="rect">
                      <a:avLst/>
                    </a:prstGeom>
                    <a:noFill/>
                    <a:ln w="9525">
                      <a:noFill/>
                      <a:miter lim="800000"/>
                      <a:headEnd/>
                      <a:tailEnd/>
                    </a:ln>
                  </pic:spPr>
                </pic:pic>
              </a:graphicData>
            </a:graphic>
          </wp:inline>
        </w:drawing>
      </w:r>
    </w:p>
    <w:p w:rsidR="00D25A3D" w:rsidRDefault="00D25A3D" w:rsidP="00D25A3D">
      <w:pPr>
        <w:pStyle w:val="NormalWeb"/>
        <w:shd w:val="clear" w:color="auto" w:fill="FFFFFF"/>
        <w:spacing w:before="0" w:beforeAutospacing="0" w:after="0" w:afterAutospacing="0"/>
        <w:textAlignment w:val="baseline"/>
        <w:rPr>
          <w:rFonts w:ascii="Arial" w:hAnsi="Arial" w:cs="Arial"/>
          <w:color w:val="333333"/>
        </w:rPr>
      </w:pPr>
      <w:r w:rsidRPr="00E17B94">
        <w:rPr>
          <w:rFonts w:ascii="Arial" w:hAnsi="Arial" w:cs="Arial"/>
          <w:color w:val="333333"/>
        </w:rPr>
        <w:t>Rua Damião de Góis 381, Maputo</w:t>
      </w:r>
    </w:p>
    <w:p w:rsidR="00D25A3D" w:rsidRPr="00E17B94" w:rsidRDefault="00D25A3D" w:rsidP="00D25A3D">
      <w:pPr>
        <w:pStyle w:val="NormalWeb"/>
        <w:shd w:val="clear" w:color="auto" w:fill="FFFFFF"/>
        <w:spacing w:before="0" w:beforeAutospacing="0" w:after="0" w:afterAutospacing="0"/>
        <w:textAlignment w:val="baseline"/>
        <w:rPr>
          <w:rFonts w:ascii="Arial" w:hAnsi="Arial" w:cs="Arial"/>
          <w:color w:val="333333"/>
        </w:rPr>
      </w:pPr>
      <w:r w:rsidRPr="00E17B94">
        <w:rPr>
          <w:rFonts w:ascii="Arial" w:hAnsi="Arial" w:cs="Arial"/>
          <w:color w:val="333333"/>
          <w:lang w:val="pt-BR"/>
        </w:rPr>
        <w:t>Tel. +258-21498513 - 21491782 - 21491787/88</w:t>
      </w:r>
    </w:p>
    <w:p w:rsidR="00D25A3D" w:rsidRPr="00883285" w:rsidRDefault="00D25A3D" w:rsidP="00D25A3D">
      <w:pPr>
        <w:autoSpaceDE w:val="0"/>
        <w:autoSpaceDN w:val="0"/>
        <w:adjustRightInd w:val="0"/>
        <w:rPr>
          <w:rFonts w:ascii="Arial-BoldMT" w:hAnsi="Arial-BoldMT" w:cs="Arial-BoldMT"/>
          <w:bCs/>
          <w:color w:val="000000"/>
          <w:lang w:val="pt-PT" w:eastAsia="pt-PT"/>
        </w:rPr>
      </w:pPr>
      <w:r w:rsidRPr="00883285">
        <w:rPr>
          <w:rFonts w:ascii="Arial-BoldMT" w:hAnsi="Arial-BoldMT" w:cs="Arial-BoldMT"/>
          <w:bCs/>
          <w:color w:val="000000"/>
          <w:lang w:val="pt-PT" w:eastAsia="pt-PT"/>
        </w:rPr>
        <w:t xml:space="preserve">e-mail: </w:t>
      </w:r>
      <w:hyperlink r:id="rId14" w:history="1">
        <w:r w:rsidRPr="00883285">
          <w:rPr>
            <w:rStyle w:val="Hyperlink"/>
            <w:rFonts w:ascii="Arial-BoldMT" w:hAnsi="Arial-BoldMT" w:cs="Arial-BoldMT"/>
            <w:bCs/>
            <w:lang w:val="pt-PT" w:eastAsia="pt-PT"/>
          </w:rPr>
          <w:t>maputo@aics.gov.it</w:t>
        </w:r>
      </w:hyperlink>
    </w:p>
    <w:p w:rsidR="00D25A3D" w:rsidRPr="00883285" w:rsidRDefault="00D25A3D" w:rsidP="00D25A3D">
      <w:pPr>
        <w:autoSpaceDE w:val="0"/>
        <w:autoSpaceDN w:val="0"/>
        <w:adjustRightInd w:val="0"/>
        <w:rPr>
          <w:rFonts w:ascii="Arial-BoldMT" w:hAnsi="Arial-BoldMT" w:cs="Arial-BoldMT"/>
          <w:bCs/>
          <w:color w:val="000000"/>
          <w:lang w:val="pt-PT" w:eastAsia="pt-PT"/>
        </w:rPr>
      </w:pPr>
      <w:r w:rsidRPr="00883285">
        <w:rPr>
          <w:rFonts w:ascii="Arial-BoldMT" w:hAnsi="Arial-BoldMT" w:cs="Arial-BoldMT"/>
          <w:bCs/>
          <w:color w:val="000000"/>
          <w:lang w:val="pt-PT" w:eastAsia="pt-PT"/>
        </w:rPr>
        <w:t xml:space="preserve">Pec: </w:t>
      </w:r>
      <w:hyperlink r:id="rId15" w:history="1">
        <w:r w:rsidRPr="00883285">
          <w:rPr>
            <w:rStyle w:val="Hyperlink"/>
            <w:rFonts w:ascii="Arial-BoldMT" w:hAnsi="Arial-BoldMT" w:cs="Arial-BoldMT"/>
            <w:bCs/>
            <w:lang w:val="pt-PT" w:eastAsia="pt-PT"/>
          </w:rPr>
          <w:t>maputo@pec.aics.gov.it</w:t>
        </w:r>
      </w:hyperlink>
    </w:p>
    <w:p w:rsidR="00D25A3D" w:rsidRPr="00883285" w:rsidRDefault="005D7A3D" w:rsidP="00D25A3D">
      <w:pPr>
        <w:autoSpaceDE w:val="0"/>
        <w:autoSpaceDN w:val="0"/>
        <w:adjustRightInd w:val="0"/>
        <w:rPr>
          <w:rFonts w:ascii="Arial-BoldMT" w:hAnsi="Arial-BoldMT" w:cs="Arial-BoldMT"/>
          <w:bCs/>
          <w:color w:val="000000"/>
          <w:lang w:val="pt-PT" w:eastAsia="pt-PT"/>
        </w:rPr>
      </w:pPr>
      <w:hyperlink r:id="rId16" w:history="1">
        <w:r w:rsidR="00D25A3D" w:rsidRPr="00883285">
          <w:rPr>
            <w:rStyle w:val="Hyperlink"/>
            <w:rFonts w:ascii="Arial-BoldMT" w:hAnsi="Arial-BoldMT" w:cs="Arial-BoldMT"/>
            <w:bCs/>
            <w:lang w:val="pt-PT" w:eastAsia="pt-PT"/>
          </w:rPr>
          <w:t>www.maputo.aics.gov.it</w:t>
        </w:r>
      </w:hyperlink>
    </w:p>
    <w:p w:rsidR="00D25A3D" w:rsidRPr="00883285" w:rsidRDefault="00D25A3D" w:rsidP="00D25A3D">
      <w:pPr>
        <w:jc w:val="both"/>
        <w:rPr>
          <w:rFonts w:ascii="Arial-BoldMT" w:hAnsi="Arial-BoldMT" w:cs="Arial-BoldMT"/>
          <w:bCs/>
          <w:color w:val="000000"/>
          <w:lang w:val="pt-PT" w:eastAsia="pt-PT"/>
        </w:rPr>
      </w:pPr>
    </w:p>
    <w:p w:rsidR="00D25A3D" w:rsidRPr="00883285" w:rsidRDefault="00D25A3D" w:rsidP="00D25A3D">
      <w:pPr>
        <w:jc w:val="both"/>
        <w:rPr>
          <w:rFonts w:ascii="Arial" w:hAnsi="Arial" w:cs="Arial"/>
          <w:lang w:val="pt-PT"/>
        </w:rPr>
      </w:pPr>
    </w:p>
    <w:p w:rsidR="00D25A3D" w:rsidRDefault="00D25A3D" w:rsidP="00D25A3D">
      <w:pPr>
        <w:jc w:val="both"/>
        <w:rPr>
          <w:rFonts w:ascii="Arial" w:hAnsi="Arial" w:cs="Arial"/>
        </w:rPr>
      </w:pPr>
      <w:r>
        <w:rPr>
          <w:rFonts w:ascii="Arial" w:hAnsi="Arial" w:cs="Arial"/>
          <w:noProof/>
          <w:lang w:eastAsia="it-IT"/>
        </w:rPr>
        <w:drawing>
          <wp:inline distT="0" distB="0" distL="0" distR="0">
            <wp:extent cx="3434715" cy="1232535"/>
            <wp:effectExtent l="19050" t="0" r="0" b="0"/>
            <wp:docPr id="8" name="Imagem 3" descr="logo_POR_rgb_BIG_Departa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POR_rgb_BIG_Departamento"/>
                    <pic:cNvPicPr>
                      <a:picLocks noChangeAspect="1" noChangeArrowheads="1"/>
                    </pic:cNvPicPr>
                  </pic:nvPicPr>
                  <pic:blipFill>
                    <a:blip r:embed="rId17" cstate="print"/>
                    <a:srcRect/>
                    <a:stretch>
                      <a:fillRect/>
                    </a:stretch>
                  </pic:blipFill>
                  <pic:spPr bwMode="auto">
                    <a:xfrm>
                      <a:off x="0" y="0"/>
                      <a:ext cx="3434715" cy="1232535"/>
                    </a:xfrm>
                    <a:prstGeom prst="rect">
                      <a:avLst/>
                    </a:prstGeom>
                    <a:noFill/>
                    <a:ln w="9525">
                      <a:noFill/>
                      <a:miter lim="800000"/>
                      <a:headEnd/>
                      <a:tailEnd/>
                    </a:ln>
                  </pic:spPr>
                </pic:pic>
              </a:graphicData>
            </a:graphic>
          </wp:inline>
        </w:drawing>
      </w:r>
    </w:p>
    <w:p w:rsidR="00D25A3D" w:rsidRDefault="00D25A3D" w:rsidP="00D25A3D">
      <w:pPr>
        <w:autoSpaceDE w:val="0"/>
        <w:autoSpaceDN w:val="0"/>
        <w:adjustRightInd w:val="0"/>
        <w:rPr>
          <w:rFonts w:ascii="Arial-BoldMT" w:hAnsi="Arial-BoldMT" w:cs="Arial-BoldMT"/>
          <w:b/>
          <w:bCs/>
          <w:color w:val="000000"/>
          <w:lang w:eastAsia="pt-PT"/>
        </w:rPr>
      </w:pPr>
    </w:p>
    <w:p w:rsidR="00D25A3D" w:rsidRPr="00C535B4" w:rsidRDefault="00D25A3D" w:rsidP="00D25A3D">
      <w:pPr>
        <w:autoSpaceDE w:val="0"/>
        <w:autoSpaceDN w:val="0"/>
        <w:adjustRightInd w:val="0"/>
        <w:rPr>
          <w:rFonts w:ascii="Arial-BoldMT" w:hAnsi="Arial-BoldMT" w:cs="Arial-BoldMT"/>
          <w:b/>
          <w:bCs/>
          <w:color w:val="000000"/>
          <w:lang w:eastAsia="pt-PT"/>
        </w:rPr>
      </w:pPr>
      <w:r w:rsidRPr="00C535B4">
        <w:rPr>
          <w:rFonts w:ascii="Arial-BoldMT" w:hAnsi="Arial-BoldMT" w:cs="Arial-BoldMT"/>
          <w:b/>
          <w:bCs/>
          <w:color w:val="000000"/>
          <w:lang w:eastAsia="pt-PT"/>
        </w:rPr>
        <w:t>UFFICIO ICE DI MAPUTO</w:t>
      </w:r>
    </w:p>
    <w:p w:rsidR="00D25A3D" w:rsidRPr="00C535B4" w:rsidRDefault="00D25A3D" w:rsidP="00D25A3D">
      <w:pPr>
        <w:autoSpaceDE w:val="0"/>
        <w:autoSpaceDN w:val="0"/>
        <w:adjustRightInd w:val="0"/>
        <w:rPr>
          <w:rFonts w:ascii="ArialMT" w:hAnsi="ArialMT" w:cs="ArialMT"/>
          <w:color w:val="000000"/>
          <w:lang w:eastAsia="pt-PT"/>
        </w:rPr>
      </w:pPr>
      <w:r w:rsidRPr="00C535B4">
        <w:rPr>
          <w:rFonts w:ascii="ArialMT" w:hAnsi="ArialMT" w:cs="ArialMT"/>
          <w:color w:val="000000"/>
          <w:lang w:eastAsia="pt-PT"/>
        </w:rPr>
        <w:t>Av. Kenneth Kaunda, 387</w:t>
      </w:r>
    </w:p>
    <w:p w:rsidR="00D25A3D" w:rsidRDefault="00D25A3D" w:rsidP="00D25A3D">
      <w:pPr>
        <w:autoSpaceDE w:val="0"/>
        <w:autoSpaceDN w:val="0"/>
        <w:adjustRightInd w:val="0"/>
        <w:rPr>
          <w:rFonts w:ascii="ArialMT" w:hAnsi="ArialMT" w:cs="ArialMT"/>
          <w:color w:val="000000"/>
          <w:lang w:val="pt-PT" w:eastAsia="pt-PT"/>
        </w:rPr>
      </w:pPr>
      <w:r>
        <w:rPr>
          <w:rFonts w:ascii="ArialMT" w:hAnsi="ArialMT" w:cs="ArialMT"/>
          <w:color w:val="000000"/>
          <w:lang w:val="pt-PT" w:eastAsia="pt-PT"/>
        </w:rPr>
        <w:t>Tel. +258 21487106</w:t>
      </w:r>
    </w:p>
    <w:p w:rsidR="00D25A3D" w:rsidRDefault="00D25A3D" w:rsidP="00D25A3D">
      <w:pPr>
        <w:autoSpaceDE w:val="0"/>
        <w:autoSpaceDN w:val="0"/>
        <w:adjustRightInd w:val="0"/>
        <w:rPr>
          <w:rFonts w:ascii="ArialMT" w:hAnsi="ArialMT" w:cs="ArialMT"/>
          <w:color w:val="000000"/>
          <w:lang w:val="pt-PT" w:eastAsia="pt-PT"/>
        </w:rPr>
      </w:pPr>
      <w:r>
        <w:rPr>
          <w:rFonts w:ascii="ArialMT" w:hAnsi="ArialMT" w:cs="ArialMT"/>
          <w:color w:val="000000"/>
          <w:lang w:val="pt-PT" w:eastAsia="pt-PT"/>
        </w:rPr>
        <w:t>Fax +258 21490503</w:t>
      </w:r>
    </w:p>
    <w:p w:rsidR="00D25A3D" w:rsidRDefault="00D25A3D" w:rsidP="00D25A3D">
      <w:pPr>
        <w:autoSpaceDE w:val="0"/>
        <w:autoSpaceDN w:val="0"/>
        <w:adjustRightInd w:val="0"/>
        <w:rPr>
          <w:rFonts w:ascii="ArialMT" w:hAnsi="ArialMT" w:cs="ArialMT"/>
          <w:color w:val="000000"/>
          <w:lang w:val="pt-PT" w:eastAsia="pt-PT"/>
        </w:rPr>
      </w:pPr>
      <w:r>
        <w:rPr>
          <w:rFonts w:ascii="ArialMT" w:hAnsi="ArialMT" w:cs="ArialMT"/>
          <w:color w:val="000000"/>
          <w:lang w:val="pt-PT" w:eastAsia="pt-PT"/>
        </w:rPr>
        <w:t xml:space="preserve">e-mail: </w:t>
      </w:r>
      <w:hyperlink r:id="rId18" w:history="1">
        <w:r w:rsidRPr="00237EA8">
          <w:rPr>
            <w:rStyle w:val="Hyperlink"/>
            <w:rFonts w:ascii="ArialMT" w:hAnsi="ArialMT" w:cs="ArialMT"/>
            <w:lang w:val="pt-PT" w:eastAsia="pt-PT"/>
          </w:rPr>
          <w:t>maputo@ice.it</w:t>
        </w:r>
      </w:hyperlink>
    </w:p>
    <w:p w:rsidR="00D25A3D" w:rsidRDefault="005D7A3D" w:rsidP="00D25A3D">
      <w:pPr>
        <w:autoSpaceDE w:val="0"/>
        <w:autoSpaceDN w:val="0"/>
        <w:adjustRightInd w:val="0"/>
        <w:rPr>
          <w:rFonts w:ascii="ArialMT" w:hAnsi="ArialMT" w:cs="ArialMT"/>
          <w:color w:val="000000"/>
          <w:lang w:val="pt-PT" w:eastAsia="pt-PT"/>
        </w:rPr>
      </w:pPr>
      <w:hyperlink r:id="rId19" w:history="1">
        <w:r w:rsidR="00D25A3D" w:rsidRPr="00237EA8">
          <w:rPr>
            <w:rStyle w:val="Hyperlink"/>
            <w:rFonts w:ascii="ArialMT" w:hAnsi="ArialMT" w:cs="ArialMT"/>
            <w:lang w:val="pt-PT" w:eastAsia="pt-PT"/>
          </w:rPr>
          <w:t>www.ice.gov.it</w:t>
        </w:r>
      </w:hyperlink>
    </w:p>
    <w:p w:rsidR="00D25A3D" w:rsidRPr="0081216E" w:rsidRDefault="00D25A3D" w:rsidP="00D25A3D">
      <w:pPr>
        <w:jc w:val="both"/>
        <w:rPr>
          <w:rFonts w:ascii="Arial" w:hAnsi="Arial" w:cs="Arial"/>
        </w:rPr>
      </w:pPr>
      <w:r>
        <w:rPr>
          <w:rFonts w:ascii="Arial-Black" w:hAnsi="Arial-Black" w:cs="Arial-Black"/>
          <w:color w:val="339AFF"/>
          <w:sz w:val="20"/>
          <w:szCs w:val="20"/>
          <w:lang w:val="pt-PT" w:eastAsia="pt-PT"/>
        </w:rPr>
        <w:t>Twitter - @ITAMaputo_</w:t>
      </w:r>
    </w:p>
    <w:p w:rsidR="00D25A3D" w:rsidRPr="0081216E" w:rsidRDefault="00D25A3D" w:rsidP="00D25A3D">
      <w:pPr>
        <w:rPr>
          <w:rFonts w:ascii="Arial" w:hAnsi="Arial" w:cs="Arial"/>
        </w:rPr>
      </w:pPr>
    </w:p>
    <w:p w:rsidR="00D25A3D" w:rsidRPr="0081216E" w:rsidRDefault="00D25A3D" w:rsidP="00D25A3D">
      <w:pPr>
        <w:rPr>
          <w:rFonts w:ascii="Arial" w:hAnsi="Arial" w:cs="Arial"/>
        </w:rPr>
      </w:pPr>
    </w:p>
    <w:p w:rsidR="0080499A" w:rsidRPr="00801ED5" w:rsidRDefault="0080499A" w:rsidP="008A7BC3">
      <w:pPr>
        <w:jc w:val="both"/>
        <w:rPr>
          <w:rFonts w:ascii="Arial" w:hAnsi="Arial" w:cs="Arial"/>
          <w:color w:val="5D6267"/>
        </w:rPr>
      </w:pPr>
    </w:p>
    <w:sectPr w:rsidR="0080499A" w:rsidRPr="00801ED5" w:rsidSect="0000726D">
      <w:headerReference w:type="even" r:id="rId20"/>
      <w:headerReference w:type="default" r:id="rId21"/>
      <w:footerReference w:type="default" r:id="rId22"/>
      <w:headerReference w:type="first" r:id="rId23"/>
      <w:footerReference w:type="first" r:id="rId24"/>
      <w:pgSz w:w="11900" w:h="16840" w:code="9"/>
      <w:pgMar w:top="284" w:right="1440" w:bottom="284" w:left="1440"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4929" w:rsidRDefault="00134929" w:rsidP="003B7211">
      <w:r>
        <w:separator/>
      </w:r>
    </w:p>
  </w:endnote>
  <w:endnote w:type="continuationSeparator" w:id="0">
    <w:p w:rsidR="00134929" w:rsidRDefault="00134929" w:rsidP="003B721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Italic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0" w:usb1="08080000" w:usb2="00000010" w:usb3="00000000" w:csb0="00100000" w:csb1="00000000"/>
  </w:font>
  <w:font w:name="ArialMT">
    <w:altName w:val="Arial"/>
    <w:panose1 w:val="00000000000000000000"/>
    <w:charset w:val="00"/>
    <w:family w:val="auto"/>
    <w:notTrueType/>
    <w:pitch w:val="default"/>
    <w:sig w:usb0="00000003" w:usb1="00000000" w:usb2="00000000" w:usb3="00000000" w:csb0="00000001" w:csb1="00000000"/>
  </w:font>
  <w:font w:name="Arial-Black">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default"/>
    <w:sig w:usb0="00000000" w:usb1="00000000" w:usb2="00000000" w:usb3="00000000" w:csb0="00000000" w:csb1="00000000"/>
  </w:font>
  <w:font w:name="Roboto Medium">
    <w:altName w:val="Arial"/>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6EC" w:rsidRPr="007C4864" w:rsidRDefault="005A46EC" w:rsidP="00900175">
    <w:pPr>
      <w:pStyle w:val="Footer"/>
      <w:rPr>
        <w:rFonts w:ascii="Roboto" w:hAnsi="Roboto" w:cs="Arial"/>
        <w:sz w:val="16"/>
        <w:szCs w:val="16"/>
      </w:rPr>
    </w:pPr>
  </w:p>
  <w:p w:rsidR="005A46EC" w:rsidRDefault="00515C21" w:rsidP="00900175">
    <w:pPr>
      <w:pStyle w:val="Footer"/>
    </w:pPr>
    <w:r>
      <w:rPr>
        <w:noProof/>
        <w:lang w:eastAsia="it-IT"/>
      </w:rPr>
      <w:drawing>
        <wp:anchor distT="0" distB="0" distL="114300" distR="114300" simplePos="0" relativeHeight="251667456" behindDoc="0" locked="0" layoutInCell="1" allowOverlap="1">
          <wp:simplePos x="0" y="0"/>
          <wp:positionH relativeFrom="column">
            <wp:posOffset>-972185</wp:posOffset>
          </wp:positionH>
          <wp:positionV relativeFrom="paragraph">
            <wp:posOffset>198120</wp:posOffset>
          </wp:positionV>
          <wp:extent cx="7556500" cy="253365"/>
          <wp:effectExtent l="0" t="0" r="0" b="0"/>
          <wp:wrapThrough wrapText="bothSides">
            <wp:wrapPolygon edited="0">
              <wp:start x="2287" y="8120"/>
              <wp:lineTo x="2287" y="12992"/>
              <wp:lineTo x="19331" y="12992"/>
              <wp:lineTo x="19331" y="8120"/>
              <wp:lineTo x="2287" y="8120"/>
            </wp:wrapPolygon>
          </wp:wrapThrough>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56500" cy="253365"/>
                  </a:xfrm>
                  <a:prstGeom prst="rect">
                    <a:avLst/>
                  </a:prstGeom>
                </pic:spPr>
              </pic:pic>
            </a:graphicData>
          </a:graphic>
        </wp:anchor>
      </w:drawing>
    </w:r>
  </w:p>
  <w:p w:rsidR="005A46EC" w:rsidRDefault="005A46EC" w:rsidP="00900175">
    <w:pPr>
      <w:pStyle w:val="Footer"/>
    </w:pPr>
  </w:p>
  <w:p w:rsidR="005A46EC" w:rsidRDefault="005A46EC">
    <w:pPr>
      <w:pStyle w:val="Footer"/>
    </w:pPr>
  </w:p>
  <w:p w:rsidR="005A46EC" w:rsidRPr="008E6942" w:rsidRDefault="005A46EC" w:rsidP="008E6942">
    <w:pPr>
      <w:pStyle w:val="Footer"/>
      <w:jc w:val="center"/>
      <w:rPr>
        <w:rFonts w:ascii="Arial" w:hAnsi="Arial" w:cs="Arial"/>
        <w:sz w:val="16"/>
        <w:szCs w:val="16"/>
      </w:rPr>
    </w:pPr>
  </w:p>
  <w:p w:rsidR="005A46EC" w:rsidRDefault="005A46E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ED5" w:rsidRDefault="00801ED5" w:rsidP="005D2C08">
    <w:pPr>
      <w:pStyle w:val="Footer"/>
    </w:pPr>
    <w:r>
      <w:rPr>
        <w:noProof/>
        <w:lang w:eastAsia="it-IT"/>
      </w:rPr>
      <w:drawing>
        <wp:anchor distT="0" distB="0" distL="114300" distR="114300" simplePos="0" relativeHeight="251660288" behindDoc="0" locked="0" layoutInCell="1" allowOverlap="1">
          <wp:simplePos x="0" y="0"/>
          <wp:positionH relativeFrom="column">
            <wp:posOffset>-972185</wp:posOffset>
          </wp:positionH>
          <wp:positionV relativeFrom="paragraph">
            <wp:posOffset>148590</wp:posOffset>
          </wp:positionV>
          <wp:extent cx="7556500" cy="253365"/>
          <wp:effectExtent l="0" t="0" r="0" b="0"/>
          <wp:wrapThrough wrapText="bothSides">
            <wp:wrapPolygon edited="0">
              <wp:start x="2251" y="2165"/>
              <wp:lineTo x="2251" y="17323"/>
              <wp:lineTo x="19313" y="17323"/>
              <wp:lineTo x="19313" y="2165"/>
              <wp:lineTo x="2251" y="2165"/>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56500" cy="253365"/>
                  </a:xfrm>
                  <a:prstGeom prst="rect">
                    <a:avLst/>
                  </a:prstGeom>
                </pic:spPr>
              </pic:pic>
            </a:graphicData>
          </a:graphic>
        </wp:anchor>
      </w:drawing>
    </w:r>
  </w:p>
  <w:p w:rsidR="005D2C08" w:rsidRPr="009D2EC1" w:rsidRDefault="005D7A3D" w:rsidP="005D2C08">
    <w:pPr>
      <w:pStyle w:val="Footer"/>
    </w:pPr>
    <w:r>
      <w:rPr>
        <w:noProof/>
        <w:lang w:eastAsia="it-IT"/>
      </w:rPr>
      <w:pict>
        <v:shapetype id="_x0000_t202" coordsize="21600,21600" o:spt="202" path="m,l,21600r21600,l21600,xe">
          <v:stroke joinstyle="miter"/>
          <v:path gradientshapeok="t" o:connecttype="rect"/>
        </v:shapetype>
        <v:shape id="Text Box 11" o:spid="_x0000_s4097" type="#_x0000_t202" style="position:absolute;margin-left:-7.55pt;margin-top:23.2pt;width:368.55pt;height:98.25pt;z-index:251659264;visibility:visible;mso-width-relative:margin;mso-height-relative:margin" filled="f" stroked="f">
          <v:textbox style="mso-next-textbox:#Text Box 11">
            <w:txbxContent>
              <w:p w:rsidR="00321E1A" w:rsidRPr="00347E0B" w:rsidRDefault="00321E1A" w:rsidP="00321E1A">
                <w:pPr>
                  <w:rPr>
                    <w:rFonts w:ascii="Roboto Medium" w:hAnsi="Roboto Medium"/>
                    <w:color w:val="5D6267"/>
                    <w:sz w:val="16"/>
                    <w:szCs w:val="16"/>
                    <w:lang w:val="pt-PT"/>
                  </w:rPr>
                </w:pPr>
                <w:r w:rsidRPr="008A7E60">
                  <w:rPr>
                    <w:rFonts w:ascii="Roboto Medium" w:hAnsi="Roboto Medium"/>
                    <w:color w:val="5D6267"/>
                    <w:sz w:val="16"/>
                    <w:szCs w:val="16"/>
                    <w:lang w:val="pt-PT"/>
                  </w:rPr>
                  <w:t>ICE</w:t>
                </w:r>
                <w:r>
                  <w:rPr>
                    <w:rFonts w:ascii="Roboto Medium" w:hAnsi="Roboto Medium"/>
                    <w:color w:val="5D6267"/>
                    <w:sz w:val="16"/>
                    <w:szCs w:val="16"/>
                    <w:lang w:val="pt-PT"/>
                  </w:rPr>
                  <w:t xml:space="preserve"> </w:t>
                </w:r>
                <w:r w:rsidRPr="008A7E60">
                  <w:rPr>
                    <w:rFonts w:ascii="Roboto Medium" w:hAnsi="Roboto Medium"/>
                    <w:color w:val="5D6267"/>
                    <w:sz w:val="16"/>
                    <w:szCs w:val="16"/>
                    <w:lang w:val="pt-PT"/>
                  </w:rPr>
                  <w:t>Agência Maputo</w:t>
                </w:r>
                <w:r w:rsidR="00347E0B" w:rsidRPr="004141F0">
                  <w:rPr>
                    <w:rFonts w:ascii="Arial" w:hAnsi="Arial" w:cs="Arial"/>
                    <w:sz w:val="18"/>
                    <w:szCs w:val="18"/>
                    <w:lang w:val="pt-BR"/>
                  </w:rPr>
                  <w:t xml:space="preserve"> </w:t>
                </w:r>
                <w:r w:rsidR="00347E0B" w:rsidRPr="00347E0B">
                  <w:rPr>
                    <w:rFonts w:ascii="Roboto Medium" w:hAnsi="Roboto Medium"/>
                    <w:color w:val="5D6267"/>
                    <w:sz w:val="16"/>
                    <w:szCs w:val="16"/>
                    <w:lang w:val="pt-PT"/>
                  </w:rPr>
                  <w:t>- Escritório de Maputo</w:t>
                </w:r>
              </w:p>
              <w:p w:rsidR="007E3DC2" w:rsidRPr="00BC0966" w:rsidRDefault="00321E1A" w:rsidP="00321E1A">
                <w:pPr>
                  <w:spacing w:line="276" w:lineRule="auto"/>
                  <w:rPr>
                    <w:rFonts w:ascii="Roboto" w:hAnsi="Roboto"/>
                    <w:color w:val="5D6267"/>
                    <w:sz w:val="16"/>
                    <w:szCs w:val="16"/>
                    <w:lang w:val="pt-PT"/>
                  </w:rPr>
                </w:pPr>
                <w:r w:rsidRPr="00BC0966">
                  <w:rPr>
                    <w:rFonts w:ascii="Roboto Medium" w:hAnsi="Roboto Medium"/>
                    <w:color w:val="5D6267"/>
                    <w:sz w:val="16"/>
                    <w:szCs w:val="16"/>
                    <w:lang w:val="pt-PT"/>
                  </w:rPr>
                  <w:t>Dep. para a Promoção de Intercâmbios da Embaixada da Itália</w:t>
                </w:r>
                <w:r>
                  <w:rPr>
                    <w:rFonts w:ascii="Roboto" w:hAnsi="Roboto"/>
                    <w:color w:val="5D6267"/>
                    <w:sz w:val="16"/>
                    <w:szCs w:val="16"/>
                    <w:lang w:val="pt-PT"/>
                  </w:rPr>
                  <w:t xml:space="preserve"> </w:t>
                </w:r>
                <w:r w:rsidR="007E3DC2">
                  <w:rPr>
                    <w:rFonts w:ascii="Roboto" w:hAnsi="Roboto"/>
                    <w:color w:val="5D6267"/>
                    <w:sz w:val="16"/>
                    <w:szCs w:val="16"/>
                    <w:lang w:val="pt-PT"/>
                  </w:rPr>
                  <w:t>Av. Kenneth Kaunda n.387</w:t>
                </w:r>
              </w:p>
              <w:p w:rsidR="007E3DC2" w:rsidRPr="00BC0966" w:rsidRDefault="007E3DC2" w:rsidP="007E3DC2">
                <w:pPr>
                  <w:spacing w:line="276" w:lineRule="auto"/>
                  <w:rPr>
                    <w:rFonts w:ascii="Roboto Medium" w:hAnsi="Roboto Medium"/>
                    <w:color w:val="5D6267"/>
                    <w:sz w:val="16"/>
                    <w:szCs w:val="16"/>
                    <w:lang w:val="pt-PT"/>
                  </w:rPr>
                </w:pPr>
                <w:r w:rsidRPr="00BC0966">
                  <w:rPr>
                    <w:rFonts w:ascii="Roboto" w:hAnsi="Roboto"/>
                    <w:color w:val="5D6267"/>
                    <w:sz w:val="16"/>
                    <w:szCs w:val="16"/>
                    <w:lang w:val="pt-PT"/>
                  </w:rPr>
                  <w:t>Maputo, Moçambique</w:t>
                </w:r>
              </w:p>
              <w:p w:rsidR="007E3DC2" w:rsidRPr="00BC0966" w:rsidRDefault="007E3DC2" w:rsidP="007E3DC2">
                <w:pPr>
                  <w:spacing w:line="276" w:lineRule="auto"/>
                  <w:rPr>
                    <w:rFonts w:ascii="Roboto" w:hAnsi="Roboto"/>
                    <w:color w:val="5D6267"/>
                    <w:sz w:val="16"/>
                    <w:szCs w:val="16"/>
                    <w:lang w:val="pt-PT"/>
                  </w:rPr>
                </w:pPr>
                <w:r w:rsidRPr="00BC0966">
                  <w:rPr>
                    <w:rFonts w:ascii="Roboto" w:hAnsi="Roboto"/>
                    <w:color w:val="5D6267"/>
                    <w:sz w:val="16"/>
                    <w:szCs w:val="16"/>
                    <w:lang w:val="pt-PT"/>
                  </w:rPr>
                  <w:t>T +258 21487106 / F +258 21492046</w:t>
                </w:r>
              </w:p>
              <w:p w:rsidR="007E3DC2" w:rsidRPr="00BC0966" w:rsidRDefault="007E3DC2" w:rsidP="007E3DC2">
                <w:pPr>
                  <w:spacing w:line="276" w:lineRule="auto"/>
                  <w:rPr>
                    <w:rFonts w:ascii="Roboto" w:hAnsi="Roboto"/>
                    <w:color w:val="5D6267"/>
                    <w:sz w:val="16"/>
                    <w:szCs w:val="16"/>
                    <w:lang w:val="pt-PT"/>
                  </w:rPr>
                </w:pPr>
                <w:r w:rsidRPr="00BC0966">
                  <w:rPr>
                    <w:rFonts w:ascii="Roboto" w:hAnsi="Roboto"/>
                    <w:color w:val="5D6267"/>
                    <w:sz w:val="16"/>
                    <w:szCs w:val="16"/>
                    <w:lang w:val="pt-PT"/>
                  </w:rPr>
                  <w:t>E-mail: maputo@ice.it</w:t>
                </w:r>
              </w:p>
              <w:p w:rsidR="00AF2EC0" w:rsidRPr="007E3DC2" w:rsidRDefault="005D7A3D" w:rsidP="007E3DC2">
                <w:pPr>
                  <w:spacing w:line="276" w:lineRule="auto"/>
                  <w:rPr>
                    <w:rFonts w:ascii="Roboto" w:hAnsi="Roboto"/>
                    <w:color w:val="5D6267"/>
                    <w:sz w:val="16"/>
                    <w:szCs w:val="16"/>
                    <w:lang w:val="pt-PT"/>
                  </w:rPr>
                </w:pPr>
                <w:hyperlink r:id="rId2" w:history="1">
                  <w:r w:rsidR="007E3DC2" w:rsidRPr="00BC0966">
                    <w:rPr>
                      <w:rStyle w:val="Hyperlink"/>
                      <w:rFonts w:ascii="Roboto" w:hAnsi="Roboto"/>
                      <w:color w:val="5D6267"/>
                      <w:sz w:val="16"/>
                      <w:szCs w:val="16"/>
                      <w:u w:val="none"/>
                      <w:lang w:val="pt-PT"/>
                    </w:rPr>
                    <w:t>www.ice.it</w:t>
                  </w:r>
                </w:hyperlink>
              </w:p>
            </w:txbxContent>
          </v:textbox>
        </v:shape>
      </w:pict>
    </w:r>
    <w:r w:rsidR="005D2C08">
      <w:br/>
    </w:r>
    <w:r w:rsidR="005D2C08">
      <w:br/>
    </w:r>
  </w:p>
  <w:p w:rsidR="005D2C08" w:rsidRDefault="005D2C08" w:rsidP="005D2C08">
    <w:pPr>
      <w:pStyle w:val="Footer"/>
      <w:rPr>
        <w:rFonts w:ascii="Roboto" w:hAnsi="Roboto" w:cs="Arial"/>
        <w:sz w:val="16"/>
        <w:szCs w:val="16"/>
      </w:rPr>
    </w:pPr>
  </w:p>
  <w:p w:rsidR="005D2C08" w:rsidRPr="007C4864" w:rsidRDefault="005D2C08" w:rsidP="005D2C08">
    <w:pPr>
      <w:pStyle w:val="Footer"/>
      <w:rPr>
        <w:rFonts w:ascii="Roboto" w:hAnsi="Roboto" w:cs="Arial"/>
        <w:sz w:val="16"/>
        <w:szCs w:val="16"/>
      </w:rPr>
    </w:pPr>
  </w:p>
  <w:p w:rsidR="005D2C08" w:rsidRDefault="005D2C08" w:rsidP="005D2C08">
    <w:pPr>
      <w:pStyle w:val="Footer"/>
    </w:pPr>
  </w:p>
  <w:p w:rsidR="005D2C08" w:rsidRDefault="005D2C08" w:rsidP="005D2C08">
    <w:pPr>
      <w:pStyle w:val="Footer"/>
    </w:pPr>
  </w:p>
  <w:p w:rsidR="005D2C08" w:rsidRDefault="005D2C08" w:rsidP="005D2C08">
    <w:pPr>
      <w:pStyle w:val="Footer"/>
    </w:pPr>
  </w:p>
  <w:p w:rsidR="005D2C08" w:rsidRDefault="005D2C08" w:rsidP="005D2C08">
    <w:pPr>
      <w:pStyle w:val="Footer"/>
    </w:pPr>
  </w:p>
  <w:p w:rsidR="005D2C08" w:rsidRDefault="005D2C08" w:rsidP="00D901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4929" w:rsidRDefault="00134929" w:rsidP="003B7211">
      <w:r>
        <w:separator/>
      </w:r>
    </w:p>
  </w:footnote>
  <w:footnote w:type="continuationSeparator" w:id="0">
    <w:p w:rsidR="00134929" w:rsidRDefault="00134929" w:rsidP="003B72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6EC" w:rsidRPr="00321E1A" w:rsidRDefault="005D7A3D">
    <w:pPr>
      <w:pStyle w:val="Header"/>
      <w:rPr>
        <w:lang w:val="en-US"/>
      </w:rPr>
    </w:pPr>
    <w:sdt>
      <w:sdtPr>
        <w:id w:val="528455652"/>
        <w:temporary/>
        <w:showingPlcHdr/>
      </w:sdtPr>
      <w:sdtContent>
        <w:r w:rsidR="005A46EC" w:rsidRPr="00321E1A">
          <w:rPr>
            <w:lang w:val="en-US"/>
          </w:rPr>
          <w:t>[Type text]</w:t>
        </w:r>
      </w:sdtContent>
    </w:sdt>
    <w:r w:rsidR="005A46EC">
      <w:ptab w:relativeTo="margin" w:alignment="center" w:leader="none"/>
    </w:r>
    <w:sdt>
      <w:sdtPr>
        <w:id w:val="528455653"/>
        <w:temporary/>
        <w:showingPlcHdr/>
      </w:sdtPr>
      <w:sdtContent>
        <w:r w:rsidR="005A46EC" w:rsidRPr="00321E1A">
          <w:rPr>
            <w:lang w:val="en-US"/>
          </w:rPr>
          <w:t>[Type text]</w:t>
        </w:r>
      </w:sdtContent>
    </w:sdt>
    <w:r w:rsidR="005A46EC">
      <w:ptab w:relativeTo="margin" w:alignment="right" w:leader="none"/>
    </w:r>
    <w:sdt>
      <w:sdtPr>
        <w:id w:val="528455654"/>
        <w:temporary/>
        <w:showingPlcHdr/>
      </w:sdtPr>
      <w:sdtContent>
        <w:r w:rsidR="005A46EC" w:rsidRPr="00321E1A">
          <w:rPr>
            <w:lang w:val="en-US"/>
          </w:rPr>
          <w:t>[Type text]</w:t>
        </w:r>
      </w:sdtContent>
    </w:sdt>
  </w:p>
  <w:p w:rsidR="005A46EC" w:rsidRPr="00321E1A" w:rsidRDefault="005A46EC">
    <w:pPr>
      <w:pStyle w:val="Header"/>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6813962"/>
      <w:docPartObj>
        <w:docPartGallery w:val="Page Numbers (Margins)"/>
        <w:docPartUnique/>
      </w:docPartObj>
    </w:sdtPr>
    <w:sdtContent>
      <w:p w:rsidR="005A46EC" w:rsidRDefault="005D7A3D" w:rsidP="00FF62C9">
        <w:pPr>
          <w:pStyle w:val="Header"/>
        </w:pPr>
        <w:r w:rsidRPr="005D7A3D">
          <w:rPr>
            <w:noProof/>
            <w:lang w:val="en-US" w:eastAsia="zh-TW"/>
          </w:rPr>
          <w:pict>
            <v:rect id="_x0000_s4102" style="position:absolute;margin-left:0;margin-top:0;width:40.9pt;height:171.9pt;z-index:251669504;mso-position-horizontal:center;mso-position-horizontal-relative:right-margin-area;mso-position-vertical:bottom;mso-position-vertical-relative:margin;v-text-anchor:middle" o:allowincell="f" filled="f" stroked="f">
              <v:textbox style="layout-flow:vertical;mso-layout-flow-alt:bottom-to-top;mso-next-textbox:#_x0000_s4102;mso-fit-shape-to-text:t">
                <w:txbxContent>
                  <w:p w:rsidR="008E6942" w:rsidRDefault="008E6942">
                    <w:pPr>
                      <w:pStyle w:val="Footer"/>
                      <w:rPr>
                        <w:rFonts w:asciiTheme="majorHAnsi" w:hAnsiTheme="majorHAnsi"/>
                        <w:sz w:val="44"/>
                        <w:szCs w:val="44"/>
                      </w:rPr>
                    </w:pPr>
                    <w:r>
                      <w:rPr>
                        <w:rFonts w:asciiTheme="majorHAnsi" w:hAnsiTheme="majorHAnsi"/>
                      </w:rPr>
                      <w:t>Page</w:t>
                    </w:r>
                    <w:fldSimple w:instr=" PAGE    \* MERGEFORMAT ">
                      <w:r w:rsidR="009846D6" w:rsidRPr="009846D6">
                        <w:rPr>
                          <w:rFonts w:asciiTheme="majorHAnsi" w:hAnsiTheme="majorHAnsi"/>
                          <w:noProof/>
                          <w:sz w:val="44"/>
                          <w:szCs w:val="44"/>
                        </w:rPr>
                        <w:t>12</w:t>
                      </w:r>
                    </w:fldSimple>
                  </w:p>
                </w:txbxContent>
              </v:textbox>
              <w10:wrap anchorx="page" anchory="margin"/>
            </v:rect>
          </w:pict>
        </w:r>
      </w:p>
    </w:sdtContent>
  </w:sdt>
  <w:p w:rsidR="005A46EC" w:rsidRDefault="005A46EC" w:rsidP="00FF62C9">
    <w:pPr>
      <w:pStyle w:val="Header"/>
    </w:pPr>
  </w:p>
  <w:p w:rsidR="005A46EC" w:rsidRDefault="005A46EC" w:rsidP="00FF62C9">
    <w:pPr>
      <w:pStyle w:val="Header"/>
      <w:spacing w:line="276" w:lineRule="auto"/>
    </w:pPr>
  </w:p>
  <w:p w:rsidR="005A46EC" w:rsidRDefault="00DA3276">
    <w:pPr>
      <w:pStyle w:val="Header"/>
    </w:pPr>
    <w:r>
      <w:rPr>
        <w:noProof/>
        <w:lang w:eastAsia="it-IT"/>
      </w:rPr>
      <w:drawing>
        <wp:anchor distT="0" distB="0" distL="114300" distR="114300" simplePos="0" relativeHeight="251665408" behindDoc="0" locked="0" layoutInCell="1" allowOverlap="1">
          <wp:simplePos x="0" y="0"/>
          <wp:positionH relativeFrom="column">
            <wp:posOffset>-635</wp:posOffset>
          </wp:positionH>
          <wp:positionV relativeFrom="paragraph">
            <wp:posOffset>142240</wp:posOffset>
          </wp:positionV>
          <wp:extent cx="1395095" cy="717550"/>
          <wp:effectExtent l="0" t="0" r="0" b="6350"/>
          <wp:wrapTopAndBottom/>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A_logo.ai"/>
                  <pic:cNvPicPr/>
                </pic:nvPicPr>
                <pic:blipFill>
                  <a:blip r:embed="rId1"/>
                  <a:stretch>
                    <a:fillRect/>
                  </a:stretch>
                </pic:blipFill>
                <pic:spPr bwMode="auto">
                  <a:xfrm>
                    <a:off x="0" y="0"/>
                    <a:ext cx="1395095" cy="717550"/>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anchor>
      </w:drawing>
    </w:r>
  </w:p>
  <w:p w:rsidR="00515C21" w:rsidRDefault="00515C21">
    <w:pPr>
      <w:pStyle w:val="Header"/>
    </w:pPr>
  </w:p>
  <w:p w:rsidR="00515C21" w:rsidRDefault="00515C21">
    <w:pPr>
      <w:pStyle w:val="Header"/>
    </w:pPr>
  </w:p>
  <w:p w:rsidR="00515C21" w:rsidRDefault="00515C21">
    <w:pPr>
      <w:pStyle w:val="Header"/>
    </w:pPr>
  </w:p>
  <w:p w:rsidR="00515C21" w:rsidRDefault="00515C21">
    <w:pPr>
      <w:pStyle w:val="Header"/>
    </w:pPr>
  </w:p>
  <w:p w:rsidR="00515C21" w:rsidRDefault="00515C21">
    <w:pPr>
      <w:pStyle w:val="Header"/>
    </w:pPr>
  </w:p>
  <w:p w:rsidR="00B0060D" w:rsidRDefault="00B0060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333" w:rsidRDefault="00160333" w:rsidP="00160333">
    <w:pPr>
      <w:spacing w:line="320" w:lineRule="exact"/>
      <w:jc w:val="both"/>
      <w:rPr>
        <w:rFonts w:ascii="Arial" w:hAnsi="Arial" w:cs="Arial"/>
        <w:b/>
        <w:color w:val="5D6267"/>
        <w:sz w:val="22"/>
        <w:szCs w:val="22"/>
      </w:rPr>
    </w:pPr>
  </w:p>
  <w:p w:rsidR="00160333" w:rsidRDefault="00160333" w:rsidP="00160333">
    <w:pPr>
      <w:spacing w:line="320" w:lineRule="exact"/>
      <w:jc w:val="both"/>
      <w:rPr>
        <w:rFonts w:ascii="Arial" w:hAnsi="Arial" w:cs="Arial"/>
        <w:b/>
        <w:color w:val="5D6267"/>
        <w:sz w:val="22"/>
        <w:szCs w:val="22"/>
      </w:rPr>
    </w:pPr>
  </w:p>
  <w:p w:rsidR="005A46EC" w:rsidRDefault="005A46EC">
    <w:pPr>
      <w:pStyle w:val="Header"/>
    </w:pPr>
  </w:p>
  <w:p w:rsidR="00AF3DEA" w:rsidRDefault="00AF3DEA">
    <w:pPr>
      <w:pStyle w:val="Header"/>
    </w:pPr>
  </w:p>
  <w:p w:rsidR="00160333" w:rsidRDefault="00631843" w:rsidP="00160333">
    <w:pPr>
      <w:pStyle w:val="Header"/>
      <w:spacing w:line="276" w:lineRule="auto"/>
    </w:pPr>
    <w:r>
      <w:rPr>
        <w:noProof/>
        <w:lang w:eastAsia="it-IT"/>
      </w:rPr>
      <w:drawing>
        <wp:inline distT="0" distB="0" distL="0" distR="0">
          <wp:extent cx="1392382" cy="851456"/>
          <wp:effectExtent l="0" t="0" r="5080" b="0"/>
          <wp:docPr id="2" name="Immagine 2" descr="Immagine che contiene disegnando, seg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RGB_fondo trasparente (1).jpg"/>
                  <pic:cNvPicPr/>
                </pic:nvPicPr>
                <pic:blipFill>
                  <a:blip r:embed="rId1"/>
                  <a:stretch>
                    <a:fillRect/>
                  </a:stretch>
                </pic:blipFill>
                <pic:spPr>
                  <a:xfrm>
                    <a:off x="0" y="0"/>
                    <a:ext cx="1419305" cy="867920"/>
                  </a:xfrm>
                  <a:prstGeom prst="rect">
                    <a:avLst/>
                  </a:prstGeom>
                </pic:spPr>
              </pic:pic>
            </a:graphicData>
          </a:graphic>
        </wp:inline>
      </w:drawing>
    </w:r>
    <w:bookmarkStart w:id="0" w:name="_GoBack"/>
    <w:bookmarkEnd w:id="0"/>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432" w:hanging="432"/>
      </w:pPr>
      <w:rPr>
        <w:rFonts w:ascii="Symbol" w:hAnsi="Symbol" w:cs="Symbol" w:hint="default"/>
        <w:sz w:val="22"/>
        <w:szCs w:val="22"/>
        <w:lang w:val="it-I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9D27A76"/>
    <w:multiLevelType w:val="hybridMultilevel"/>
    <w:tmpl w:val="901E72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962748D"/>
    <w:multiLevelType w:val="hybridMultilevel"/>
    <w:tmpl w:val="CD0E3DFA"/>
    <w:lvl w:ilvl="0" w:tplc="28A6C980">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B862CA8"/>
    <w:multiLevelType w:val="hybridMultilevel"/>
    <w:tmpl w:val="0D0246F8"/>
    <w:lvl w:ilvl="0" w:tplc="0410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4">
    <w:nsid w:val="38433438"/>
    <w:multiLevelType w:val="hybridMultilevel"/>
    <w:tmpl w:val="15AE1BA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3B1B3397"/>
    <w:multiLevelType w:val="hybridMultilevel"/>
    <w:tmpl w:val="A51828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44105916"/>
    <w:multiLevelType w:val="hybridMultilevel"/>
    <w:tmpl w:val="DCC61E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CA92CAE"/>
    <w:multiLevelType w:val="hybridMultilevel"/>
    <w:tmpl w:val="CD0E3DFA"/>
    <w:lvl w:ilvl="0" w:tplc="28A6C980">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625C39A2"/>
    <w:multiLevelType w:val="hybridMultilevel"/>
    <w:tmpl w:val="71321A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630A4230"/>
    <w:multiLevelType w:val="hybridMultilevel"/>
    <w:tmpl w:val="EFFC1F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64F975A8"/>
    <w:multiLevelType w:val="hybridMultilevel"/>
    <w:tmpl w:val="CD0E3DFA"/>
    <w:lvl w:ilvl="0" w:tplc="28A6C980">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67DD5FFB"/>
    <w:multiLevelType w:val="hybridMultilevel"/>
    <w:tmpl w:val="CD0E3DFA"/>
    <w:lvl w:ilvl="0" w:tplc="28A6C980">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6C217B71"/>
    <w:multiLevelType w:val="hybridMultilevel"/>
    <w:tmpl w:val="C75829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6C990219"/>
    <w:multiLevelType w:val="hybridMultilevel"/>
    <w:tmpl w:val="CD0E3DFA"/>
    <w:lvl w:ilvl="0" w:tplc="28A6C980">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0"/>
  </w:num>
  <w:num w:numId="3">
    <w:abstractNumId w:val="11"/>
  </w:num>
  <w:num w:numId="4">
    <w:abstractNumId w:val="7"/>
  </w:num>
  <w:num w:numId="5">
    <w:abstractNumId w:val="10"/>
  </w:num>
  <w:num w:numId="6">
    <w:abstractNumId w:val="13"/>
  </w:num>
  <w:num w:numId="7">
    <w:abstractNumId w:val="5"/>
  </w:num>
  <w:num w:numId="8">
    <w:abstractNumId w:val="1"/>
  </w:num>
  <w:num w:numId="9">
    <w:abstractNumId w:val="8"/>
  </w:num>
  <w:num w:numId="10">
    <w:abstractNumId w:val="9"/>
  </w:num>
  <w:num w:numId="11">
    <w:abstractNumId w:val="3"/>
  </w:num>
  <w:num w:numId="12">
    <w:abstractNumId w:val="12"/>
  </w:num>
  <w:num w:numId="13">
    <w:abstractNumId w:val="6"/>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3"/>
  <w:proofState w:spelling="clean"/>
  <w:defaultTabStop w:val="720"/>
  <w:hyphenationZone w:val="283"/>
  <w:drawingGridHorizontalSpacing w:val="120"/>
  <w:displayHorizontalDrawingGridEvery w:val="2"/>
  <w:characterSpacingControl w:val="doNotCompress"/>
  <w:hdrShapeDefaults>
    <o:shapedefaults v:ext="edit" spidmax="13314"/>
    <o:shapelayout v:ext="edit">
      <o:idmap v:ext="edit" data="4"/>
    </o:shapelayout>
  </w:hdrShapeDefaults>
  <w:footnotePr>
    <w:footnote w:id="-1"/>
    <w:footnote w:id="0"/>
  </w:footnotePr>
  <w:endnotePr>
    <w:endnote w:id="-1"/>
    <w:endnote w:id="0"/>
  </w:endnotePr>
  <w:compat>
    <w:useFELayout/>
  </w:compat>
  <w:rsids>
    <w:rsidRoot w:val="003B7211"/>
    <w:rsid w:val="00006B9B"/>
    <w:rsid w:val="0000726D"/>
    <w:rsid w:val="000078AA"/>
    <w:rsid w:val="000304E6"/>
    <w:rsid w:val="00032717"/>
    <w:rsid w:val="000A0803"/>
    <w:rsid w:val="000A7854"/>
    <w:rsid w:val="000E23A4"/>
    <w:rsid w:val="00134929"/>
    <w:rsid w:val="00160333"/>
    <w:rsid w:val="00190D1D"/>
    <w:rsid w:val="001A0363"/>
    <w:rsid w:val="001F2A80"/>
    <w:rsid w:val="001F47DE"/>
    <w:rsid w:val="00215E6E"/>
    <w:rsid w:val="00230703"/>
    <w:rsid w:val="002333D8"/>
    <w:rsid w:val="00237E53"/>
    <w:rsid w:val="00260BE3"/>
    <w:rsid w:val="00267770"/>
    <w:rsid w:val="00283918"/>
    <w:rsid w:val="002B7123"/>
    <w:rsid w:val="002E55B5"/>
    <w:rsid w:val="002E759A"/>
    <w:rsid w:val="00321E1A"/>
    <w:rsid w:val="00347E0B"/>
    <w:rsid w:val="003A479E"/>
    <w:rsid w:val="003B7211"/>
    <w:rsid w:val="003D1600"/>
    <w:rsid w:val="004063C3"/>
    <w:rsid w:val="004141F0"/>
    <w:rsid w:val="00425DB6"/>
    <w:rsid w:val="00435492"/>
    <w:rsid w:val="00452681"/>
    <w:rsid w:val="00456AC7"/>
    <w:rsid w:val="0049335A"/>
    <w:rsid w:val="004B5CD6"/>
    <w:rsid w:val="004C7AA9"/>
    <w:rsid w:val="004F788D"/>
    <w:rsid w:val="00503CA9"/>
    <w:rsid w:val="00515C21"/>
    <w:rsid w:val="00520F7A"/>
    <w:rsid w:val="00560331"/>
    <w:rsid w:val="00581B17"/>
    <w:rsid w:val="005948A7"/>
    <w:rsid w:val="005A46EC"/>
    <w:rsid w:val="005D1678"/>
    <w:rsid w:val="005D2C08"/>
    <w:rsid w:val="005D7A3D"/>
    <w:rsid w:val="006137FE"/>
    <w:rsid w:val="006240C9"/>
    <w:rsid w:val="00630C27"/>
    <w:rsid w:val="00631843"/>
    <w:rsid w:val="006336F2"/>
    <w:rsid w:val="006376A3"/>
    <w:rsid w:val="00640055"/>
    <w:rsid w:val="006B3E11"/>
    <w:rsid w:val="006F0C49"/>
    <w:rsid w:val="00782D51"/>
    <w:rsid w:val="007B01C5"/>
    <w:rsid w:val="007C3891"/>
    <w:rsid w:val="007C4864"/>
    <w:rsid w:val="007D4C6C"/>
    <w:rsid w:val="007E287B"/>
    <w:rsid w:val="007E3DC2"/>
    <w:rsid w:val="00801ED5"/>
    <w:rsid w:val="0080499A"/>
    <w:rsid w:val="00863754"/>
    <w:rsid w:val="008845B1"/>
    <w:rsid w:val="00885636"/>
    <w:rsid w:val="008A7BC3"/>
    <w:rsid w:val="008B0D0B"/>
    <w:rsid w:val="008B182A"/>
    <w:rsid w:val="008E6942"/>
    <w:rsid w:val="00900175"/>
    <w:rsid w:val="0092126D"/>
    <w:rsid w:val="00937A2E"/>
    <w:rsid w:val="009802D8"/>
    <w:rsid w:val="009829B5"/>
    <w:rsid w:val="009846D6"/>
    <w:rsid w:val="009D2EC0"/>
    <w:rsid w:val="00A01F52"/>
    <w:rsid w:val="00A108DD"/>
    <w:rsid w:val="00A264C9"/>
    <w:rsid w:val="00A3369F"/>
    <w:rsid w:val="00A501D0"/>
    <w:rsid w:val="00A648B1"/>
    <w:rsid w:val="00A975C7"/>
    <w:rsid w:val="00AA59B4"/>
    <w:rsid w:val="00AF2EC0"/>
    <w:rsid w:val="00AF3DEA"/>
    <w:rsid w:val="00B0060D"/>
    <w:rsid w:val="00B071F9"/>
    <w:rsid w:val="00B3053A"/>
    <w:rsid w:val="00B34770"/>
    <w:rsid w:val="00B74886"/>
    <w:rsid w:val="00B75DE9"/>
    <w:rsid w:val="00BA2081"/>
    <w:rsid w:val="00BA5D51"/>
    <w:rsid w:val="00C17B8B"/>
    <w:rsid w:val="00C221E2"/>
    <w:rsid w:val="00C262FD"/>
    <w:rsid w:val="00C4486D"/>
    <w:rsid w:val="00C5179C"/>
    <w:rsid w:val="00C8007A"/>
    <w:rsid w:val="00CC20DB"/>
    <w:rsid w:val="00CD37CD"/>
    <w:rsid w:val="00CD41D5"/>
    <w:rsid w:val="00CD672B"/>
    <w:rsid w:val="00D25A3D"/>
    <w:rsid w:val="00D5023E"/>
    <w:rsid w:val="00D62DD7"/>
    <w:rsid w:val="00D740DE"/>
    <w:rsid w:val="00D83C75"/>
    <w:rsid w:val="00D901B2"/>
    <w:rsid w:val="00D96551"/>
    <w:rsid w:val="00DA3276"/>
    <w:rsid w:val="00E328F2"/>
    <w:rsid w:val="00E50C49"/>
    <w:rsid w:val="00E60535"/>
    <w:rsid w:val="00E7178A"/>
    <w:rsid w:val="00E76AF3"/>
    <w:rsid w:val="00E80C13"/>
    <w:rsid w:val="00F443A6"/>
    <w:rsid w:val="00F643A3"/>
    <w:rsid w:val="00F821A7"/>
    <w:rsid w:val="00FD747F"/>
    <w:rsid w:val="00FE524F"/>
    <w:rsid w:val="00FF62C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770"/>
  </w:style>
  <w:style w:type="paragraph" w:styleId="Heading1">
    <w:name w:val="heading 1"/>
    <w:basedOn w:val="Normal"/>
    <w:next w:val="Normal"/>
    <w:link w:val="Heading1Char"/>
    <w:qFormat/>
    <w:rsid w:val="00B0060D"/>
    <w:pPr>
      <w:keepNext/>
      <w:numPr>
        <w:numId w:val="2"/>
      </w:numPr>
      <w:tabs>
        <w:tab w:val="left" w:pos="720"/>
      </w:tabs>
      <w:suppressAutoHyphens/>
      <w:ind w:left="360" w:firstLine="0"/>
      <w:outlineLvl w:val="0"/>
    </w:pPr>
    <w:rPr>
      <w:rFonts w:ascii="Verdana" w:eastAsia="Times New Roman" w:hAnsi="Verdana" w:cs="Verdana"/>
      <w:b/>
      <w:bCs/>
      <w:color w:val="000000"/>
      <w:sz w:val="72"/>
      <w:szCs w:val="17"/>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721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7211"/>
    <w:rPr>
      <w:rFonts w:ascii="Lucida Grande" w:hAnsi="Lucida Grande" w:cs="Lucida Grande"/>
      <w:sz w:val="18"/>
      <w:szCs w:val="18"/>
    </w:rPr>
  </w:style>
  <w:style w:type="paragraph" w:styleId="Header">
    <w:name w:val="header"/>
    <w:basedOn w:val="Normal"/>
    <w:link w:val="HeaderChar"/>
    <w:uiPriority w:val="99"/>
    <w:unhideWhenUsed/>
    <w:rsid w:val="003B7211"/>
    <w:pPr>
      <w:tabs>
        <w:tab w:val="center" w:pos="4153"/>
        <w:tab w:val="right" w:pos="8306"/>
      </w:tabs>
    </w:pPr>
  </w:style>
  <w:style w:type="character" w:customStyle="1" w:styleId="HeaderChar">
    <w:name w:val="Header Char"/>
    <w:basedOn w:val="DefaultParagraphFont"/>
    <w:link w:val="Header"/>
    <w:uiPriority w:val="99"/>
    <w:rsid w:val="003B7211"/>
  </w:style>
  <w:style w:type="paragraph" w:styleId="Footer">
    <w:name w:val="footer"/>
    <w:basedOn w:val="Normal"/>
    <w:link w:val="FooterChar"/>
    <w:uiPriority w:val="99"/>
    <w:unhideWhenUsed/>
    <w:rsid w:val="003B7211"/>
    <w:pPr>
      <w:tabs>
        <w:tab w:val="center" w:pos="4153"/>
        <w:tab w:val="right" w:pos="8306"/>
      </w:tabs>
    </w:pPr>
  </w:style>
  <w:style w:type="character" w:customStyle="1" w:styleId="FooterChar">
    <w:name w:val="Footer Char"/>
    <w:basedOn w:val="DefaultParagraphFont"/>
    <w:link w:val="Footer"/>
    <w:uiPriority w:val="99"/>
    <w:rsid w:val="003B7211"/>
  </w:style>
  <w:style w:type="character" w:styleId="Hyperlink">
    <w:name w:val="Hyperlink"/>
    <w:basedOn w:val="DefaultParagraphFont"/>
    <w:uiPriority w:val="99"/>
    <w:unhideWhenUsed/>
    <w:rsid w:val="00D901B2"/>
    <w:rPr>
      <w:color w:val="0000FF" w:themeColor="hyperlink"/>
      <w:u w:val="single"/>
    </w:rPr>
  </w:style>
  <w:style w:type="character" w:styleId="FollowedHyperlink">
    <w:name w:val="FollowedHyperlink"/>
    <w:basedOn w:val="DefaultParagraphFont"/>
    <w:uiPriority w:val="99"/>
    <w:semiHidden/>
    <w:unhideWhenUsed/>
    <w:rsid w:val="007C4864"/>
    <w:rPr>
      <w:color w:val="800080" w:themeColor="followedHyperlink"/>
      <w:u w:val="single"/>
    </w:rPr>
  </w:style>
  <w:style w:type="paragraph" w:styleId="NoSpacing">
    <w:name w:val="No Spacing"/>
    <w:link w:val="NoSpacingChar"/>
    <w:uiPriority w:val="1"/>
    <w:qFormat/>
    <w:rsid w:val="00F643A3"/>
    <w:rPr>
      <w:sz w:val="22"/>
      <w:szCs w:val="22"/>
      <w:lang w:val="pt-PT"/>
    </w:rPr>
  </w:style>
  <w:style w:type="character" w:customStyle="1" w:styleId="NoSpacingChar">
    <w:name w:val="No Spacing Char"/>
    <w:basedOn w:val="DefaultParagraphFont"/>
    <w:link w:val="NoSpacing"/>
    <w:uiPriority w:val="1"/>
    <w:rsid w:val="00F643A3"/>
    <w:rPr>
      <w:sz w:val="22"/>
      <w:szCs w:val="22"/>
      <w:lang w:val="pt-PT"/>
    </w:rPr>
  </w:style>
  <w:style w:type="paragraph" w:styleId="EndnoteText">
    <w:name w:val="endnote text"/>
    <w:basedOn w:val="Normal"/>
    <w:link w:val="EndnoteTextChar"/>
    <w:uiPriority w:val="99"/>
    <w:semiHidden/>
    <w:unhideWhenUsed/>
    <w:rsid w:val="00F643A3"/>
    <w:rPr>
      <w:sz w:val="20"/>
      <w:szCs w:val="20"/>
    </w:rPr>
  </w:style>
  <w:style w:type="character" w:customStyle="1" w:styleId="EndnoteTextChar">
    <w:name w:val="Endnote Text Char"/>
    <w:basedOn w:val="DefaultParagraphFont"/>
    <w:link w:val="EndnoteText"/>
    <w:uiPriority w:val="99"/>
    <w:semiHidden/>
    <w:rsid w:val="00F643A3"/>
    <w:rPr>
      <w:sz w:val="20"/>
      <w:szCs w:val="20"/>
    </w:rPr>
  </w:style>
  <w:style w:type="character" w:styleId="EndnoteReference">
    <w:name w:val="endnote reference"/>
    <w:basedOn w:val="DefaultParagraphFont"/>
    <w:uiPriority w:val="99"/>
    <w:semiHidden/>
    <w:unhideWhenUsed/>
    <w:rsid w:val="00F643A3"/>
    <w:rPr>
      <w:vertAlign w:val="superscript"/>
    </w:rPr>
  </w:style>
  <w:style w:type="paragraph" w:styleId="DocumentMap">
    <w:name w:val="Document Map"/>
    <w:basedOn w:val="Normal"/>
    <w:link w:val="DocumentMapChar"/>
    <w:uiPriority w:val="99"/>
    <w:semiHidden/>
    <w:unhideWhenUsed/>
    <w:rsid w:val="00F643A3"/>
    <w:rPr>
      <w:rFonts w:ascii="Tahoma" w:hAnsi="Tahoma" w:cs="Tahoma"/>
      <w:sz w:val="16"/>
      <w:szCs w:val="16"/>
    </w:rPr>
  </w:style>
  <w:style w:type="character" w:customStyle="1" w:styleId="DocumentMapChar">
    <w:name w:val="Document Map Char"/>
    <w:basedOn w:val="DefaultParagraphFont"/>
    <w:link w:val="DocumentMap"/>
    <w:uiPriority w:val="99"/>
    <w:semiHidden/>
    <w:rsid w:val="00F643A3"/>
    <w:rPr>
      <w:rFonts w:ascii="Tahoma" w:hAnsi="Tahoma" w:cs="Tahoma"/>
      <w:sz w:val="16"/>
      <w:szCs w:val="16"/>
    </w:rPr>
  </w:style>
  <w:style w:type="character" w:customStyle="1" w:styleId="Heading1Char">
    <w:name w:val="Heading 1 Char"/>
    <w:basedOn w:val="DefaultParagraphFont"/>
    <w:link w:val="Heading1"/>
    <w:rsid w:val="00B0060D"/>
    <w:rPr>
      <w:rFonts w:ascii="Verdana" w:eastAsia="Times New Roman" w:hAnsi="Verdana" w:cs="Verdana"/>
      <w:b/>
      <w:bCs/>
      <w:color w:val="000000"/>
      <w:sz w:val="72"/>
      <w:szCs w:val="17"/>
      <w:lang w:val="en-GB" w:eastAsia="ar-SA"/>
    </w:rPr>
  </w:style>
  <w:style w:type="character" w:styleId="Strong">
    <w:name w:val="Strong"/>
    <w:uiPriority w:val="22"/>
    <w:qFormat/>
    <w:rsid w:val="00B0060D"/>
    <w:rPr>
      <w:b/>
      <w:bCs/>
    </w:rPr>
  </w:style>
  <w:style w:type="paragraph" w:styleId="ListParagraph">
    <w:name w:val="List Paragraph"/>
    <w:basedOn w:val="Normal"/>
    <w:uiPriority w:val="34"/>
    <w:qFormat/>
    <w:rsid w:val="00A01F52"/>
    <w:pPr>
      <w:ind w:left="720"/>
      <w:contextualSpacing/>
    </w:pPr>
  </w:style>
  <w:style w:type="paragraph" w:styleId="NormalWeb">
    <w:name w:val="Normal (Web)"/>
    <w:basedOn w:val="Normal"/>
    <w:uiPriority w:val="99"/>
    <w:unhideWhenUsed/>
    <w:rsid w:val="002E759A"/>
    <w:pPr>
      <w:spacing w:before="100" w:beforeAutospacing="1" w:after="100" w:afterAutospacing="1"/>
    </w:pPr>
    <w:rPr>
      <w:rFonts w:ascii="Times New Roman" w:eastAsia="Times New Roman" w:hAnsi="Times New Roman" w:cs="Times New Roman"/>
      <w:lang w:val="pt-PT" w:eastAsia="pt-PT"/>
    </w:rPr>
  </w:style>
  <w:style w:type="character" w:styleId="Emphasis">
    <w:name w:val="Emphasis"/>
    <w:basedOn w:val="DefaultParagraphFont"/>
    <w:uiPriority w:val="20"/>
    <w:qFormat/>
    <w:rsid w:val="00E60535"/>
    <w:rPr>
      <w:i/>
      <w:iCs/>
    </w:rPr>
  </w:style>
</w:styles>
</file>

<file path=word/webSettings.xml><?xml version="1.0" encoding="utf-8"?>
<w:webSettings xmlns:r="http://schemas.openxmlformats.org/officeDocument/2006/relationships" xmlns:w="http://schemas.openxmlformats.org/wordprocessingml/2006/main">
  <w:divs>
    <w:div w:id="141582830">
      <w:bodyDiv w:val="1"/>
      <w:marLeft w:val="0"/>
      <w:marRight w:val="0"/>
      <w:marTop w:val="0"/>
      <w:marBottom w:val="0"/>
      <w:divBdr>
        <w:top w:val="none" w:sz="0" w:space="0" w:color="auto"/>
        <w:left w:val="none" w:sz="0" w:space="0" w:color="auto"/>
        <w:bottom w:val="none" w:sz="0" w:space="0" w:color="auto"/>
        <w:right w:val="none" w:sz="0" w:space="0" w:color="auto"/>
      </w:divBdr>
      <w:divsChild>
        <w:div w:id="1621456376">
          <w:marLeft w:val="0"/>
          <w:marRight w:val="0"/>
          <w:marTop w:val="0"/>
          <w:marBottom w:val="0"/>
          <w:divBdr>
            <w:top w:val="none" w:sz="0" w:space="0" w:color="auto"/>
            <w:left w:val="none" w:sz="0" w:space="0" w:color="auto"/>
            <w:bottom w:val="none" w:sz="0" w:space="0" w:color="auto"/>
            <w:right w:val="none" w:sz="0" w:space="0" w:color="auto"/>
          </w:divBdr>
        </w:div>
      </w:divsChild>
    </w:div>
    <w:div w:id="727847831">
      <w:bodyDiv w:val="1"/>
      <w:marLeft w:val="0"/>
      <w:marRight w:val="0"/>
      <w:marTop w:val="0"/>
      <w:marBottom w:val="0"/>
      <w:divBdr>
        <w:top w:val="none" w:sz="0" w:space="0" w:color="auto"/>
        <w:left w:val="none" w:sz="0" w:space="0" w:color="auto"/>
        <w:bottom w:val="none" w:sz="0" w:space="0" w:color="auto"/>
        <w:right w:val="none" w:sz="0" w:space="0" w:color="auto"/>
      </w:divBdr>
      <w:divsChild>
        <w:div w:id="893933324">
          <w:marLeft w:val="0"/>
          <w:marRight w:val="0"/>
          <w:marTop w:val="0"/>
          <w:marBottom w:val="0"/>
          <w:divBdr>
            <w:top w:val="none" w:sz="0" w:space="0" w:color="auto"/>
            <w:left w:val="none" w:sz="0" w:space="0" w:color="auto"/>
            <w:bottom w:val="none" w:sz="0" w:space="0" w:color="auto"/>
            <w:right w:val="none" w:sz="0" w:space="0" w:color="auto"/>
          </w:divBdr>
        </w:div>
        <w:div w:id="439685970">
          <w:marLeft w:val="0"/>
          <w:marRight w:val="0"/>
          <w:marTop w:val="0"/>
          <w:marBottom w:val="0"/>
          <w:divBdr>
            <w:top w:val="none" w:sz="0" w:space="0" w:color="auto"/>
            <w:left w:val="none" w:sz="0" w:space="0" w:color="auto"/>
            <w:bottom w:val="none" w:sz="0" w:space="0" w:color="auto"/>
            <w:right w:val="none" w:sz="0" w:space="0" w:color="auto"/>
          </w:divBdr>
        </w:div>
      </w:divsChild>
    </w:div>
    <w:div w:id="928343859">
      <w:bodyDiv w:val="1"/>
      <w:marLeft w:val="0"/>
      <w:marRight w:val="0"/>
      <w:marTop w:val="0"/>
      <w:marBottom w:val="0"/>
      <w:divBdr>
        <w:top w:val="none" w:sz="0" w:space="0" w:color="auto"/>
        <w:left w:val="none" w:sz="0" w:space="0" w:color="auto"/>
        <w:bottom w:val="none" w:sz="0" w:space="0" w:color="auto"/>
        <w:right w:val="none" w:sz="0" w:space="0" w:color="auto"/>
      </w:divBdr>
    </w:div>
    <w:div w:id="1633712540">
      <w:bodyDiv w:val="1"/>
      <w:marLeft w:val="0"/>
      <w:marRight w:val="0"/>
      <w:marTop w:val="0"/>
      <w:marBottom w:val="0"/>
      <w:divBdr>
        <w:top w:val="none" w:sz="0" w:space="0" w:color="auto"/>
        <w:left w:val="none" w:sz="0" w:space="0" w:color="auto"/>
        <w:bottom w:val="none" w:sz="0" w:space="0" w:color="auto"/>
        <w:right w:val="none" w:sz="0" w:space="0" w:color="auto"/>
      </w:divBdr>
      <w:divsChild>
        <w:div w:id="2063672758">
          <w:marLeft w:val="0"/>
          <w:marRight w:val="0"/>
          <w:marTop w:val="0"/>
          <w:marBottom w:val="0"/>
          <w:divBdr>
            <w:top w:val="none" w:sz="0" w:space="0" w:color="auto"/>
            <w:left w:val="none" w:sz="0" w:space="0" w:color="auto"/>
            <w:bottom w:val="none" w:sz="0" w:space="0" w:color="auto"/>
            <w:right w:val="none" w:sz="0" w:space="0" w:color="auto"/>
          </w:divBdr>
        </w:div>
        <w:div w:id="1233126443">
          <w:marLeft w:val="0"/>
          <w:marRight w:val="0"/>
          <w:marTop w:val="0"/>
          <w:marBottom w:val="0"/>
          <w:divBdr>
            <w:top w:val="none" w:sz="0" w:space="0" w:color="auto"/>
            <w:left w:val="none" w:sz="0" w:space="0" w:color="auto"/>
            <w:bottom w:val="none" w:sz="0" w:space="0" w:color="auto"/>
            <w:right w:val="none" w:sz="0" w:space="0" w:color="auto"/>
          </w:divBdr>
        </w:div>
      </w:divsChild>
    </w:div>
    <w:div w:id="1790003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hyperlink" Target="mailto:maputo@ice.i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ambmaputo.esteri.it"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aputo.aics.gov.i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basciata.maputo@esteri.it"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maputo@pec.aics.gov.it" TargetMode="External"/><Relationship Id="rId23"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hyperlink" Target="http://www.ice.gov.it" TargetMode="External"/><Relationship Id="rId4" Type="http://schemas.openxmlformats.org/officeDocument/2006/relationships/settings" Target="settings.xml"/><Relationship Id="rId9" Type="http://schemas.openxmlformats.org/officeDocument/2006/relationships/hyperlink" Target="https://eur-lex.europa.eu/legal-content/EN/TXT/?uri=OJ%3AL%3A2016%3A250%3ATOC" TargetMode="External"/><Relationship Id="rId14" Type="http://schemas.openxmlformats.org/officeDocument/2006/relationships/hyperlink" Target="mailto:maputo@aics.gov.it"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footer2.xml.rels><?xml version="1.0" encoding="UTF-8" standalone="yes"?>
<Relationships xmlns="http://schemas.openxmlformats.org/package/2006/relationships"><Relationship Id="rId2" Type="http://schemas.openxmlformats.org/officeDocument/2006/relationships/hyperlink" Target="http://www.ice.it" TargetMode="External"/><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94ACC-EBBA-44A6-B53B-552F297E3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12</Pages>
  <Words>3034</Words>
  <Characters>17295</Characters>
  <Application>Microsoft Office Word</Application>
  <DocSecurity>0</DocSecurity>
  <Lines>144</Lines>
  <Paragraphs>40</Paragraphs>
  <ScaleCrop>false</ScaleCrop>
  <HeadingPairs>
    <vt:vector size="6" baseType="variant">
      <vt:variant>
        <vt:lpstr>Title</vt:lpstr>
      </vt:variant>
      <vt:variant>
        <vt:i4>1</vt:i4>
      </vt:variant>
      <vt:variant>
        <vt:lpstr>Título</vt:lpstr>
      </vt:variant>
      <vt:variant>
        <vt:i4>1</vt:i4>
      </vt:variant>
      <vt:variant>
        <vt:lpstr>Titolo</vt:lpstr>
      </vt:variant>
      <vt:variant>
        <vt:i4>1</vt:i4>
      </vt:variant>
    </vt:vector>
  </HeadingPairs>
  <TitlesOfParts>
    <vt:vector size="3" baseType="lpstr">
      <vt:lpstr/>
      <vt:lpstr/>
      <vt:lpstr/>
    </vt:vector>
  </TitlesOfParts>
  <Company>Hewlett-Packard Company</Company>
  <LinksUpToDate>false</LinksUpToDate>
  <CharactersWithSpaces>20289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aaa</dc:creator>
  <cp:lastModifiedBy>User</cp:lastModifiedBy>
  <cp:revision>10</cp:revision>
  <cp:lastPrinted>2021-05-03T09:51:00Z</cp:lastPrinted>
  <dcterms:created xsi:type="dcterms:W3CDTF">2021-05-03T07:56:00Z</dcterms:created>
  <dcterms:modified xsi:type="dcterms:W3CDTF">2021-05-03T10:08:00Z</dcterms:modified>
</cp:coreProperties>
</file>